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3"/>
        <w:rPr>
          <w:color w:val="auto"/>
          <w:highlight w:val="none"/>
        </w:rPr>
      </w:pPr>
    </w:p>
    <w:p>
      <w:pPr>
        <w:rPr>
          <w:color w:val="auto"/>
          <w:highlight w:val="none"/>
        </w:rPr>
      </w:pPr>
    </w:p>
    <w:p>
      <w:pPr>
        <w:spacing w:line="360" w:lineRule="auto"/>
        <w:rPr>
          <w:rFonts w:hint="default" w:ascii="宋体" w:hAnsi="宋体"/>
          <w:b/>
          <w:color w:val="auto"/>
          <w:sz w:val="36"/>
          <w:szCs w:val="36"/>
          <w:highlight w:val="none"/>
          <w:lang w:val="en-US"/>
        </w:rPr>
      </w:pPr>
      <w:r>
        <w:rPr>
          <w:rFonts w:hint="eastAsia" w:ascii="宋体" w:hAnsi="宋体"/>
          <w:b/>
          <w:color w:val="auto"/>
          <w:sz w:val="36"/>
          <w:szCs w:val="36"/>
          <w:highlight w:val="none"/>
        </w:rPr>
        <w:t>采购编号：</w:t>
      </w:r>
      <w:r>
        <w:rPr>
          <w:rFonts w:hint="eastAsia" w:ascii="宋体" w:hAnsi="宋体"/>
          <w:b w:val="0"/>
          <w:bCs/>
          <w:color w:val="auto"/>
          <w:sz w:val="36"/>
          <w:szCs w:val="36"/>
          <w:highlight w:val="none"/>
          <w:u w:val="single"/>
          <w:lang w:val="en-US" w:eastAsia="zh-CN"/>
        </w:rPr>
        <w:t xml:space="preserve"> QZTCSJC2024002</w:t>
      </w:r>
      <w:r>
        <w:rPr>
          <w:rFonts w:hint="eastAsia" w:ascii="宋体" w:hAnsi="宋体"/>
          <w:b/>
          <w:color w:val="auto"/>
          <w:sz w:val="36"/>
          <w:szCs w:val="36"/>
          <w:highlight w:val="none"/>
          <w:lang w:val="en-US" w:eastAsia="zh-CN"/>
        </w:rPr>
        <w:t xml:space="preserve">                        </w:t>
      </w:r>
    </w:p>
    <w:p>
      <w:pPr>
        <w:spacing w:line="360" w:lineRule="auto"/>
        <w:rPr>
          <w:rFonts w:hint="eastAsia" w:ascii="宋体" w:hAnsi="宋体"/>
          <w:b w:val="0"/>
          <w:bCs/>
          <w:color w:val="auto"/>
          <w:sz w:val="36"/>
          <w:szCs w:val="36"/>
          <w:highlight w:val="none"/>
          <w:u w:val="single"/>
        </w:rPr>
      </w:pPr>
      <w:r>
        <w:rPr>
          <w:rFonts w:hint="eastAsia" w:ascii="宋体" w:hAnsi="宋体"/>
          <w:b/>
          <w:color w:val="auto"/>
          <w:sz w:val="36"/>
          <w:szCs w:val="36"/>
          <w:highlight w:val="none"/>
        </w:rPr>
        <w:t>项目名称：</w:t>
      </w:r>
      <w:r>
        <w:rPr>
          <w:rFonts w:hint="eastAsia" w:ascii="宋体" w:hAnsi="宋体"/>
          <w:b/>
          <w:color w:val="auto"/>
          <w:sz w:val="36"/>
          <w:szCs w:val="36"/>
          <w:highlight w:val="none"/>
          <w:lang w:val="en-US" w:eastAsia="zh-CN"/>
        </w:rPr>
        <w:t xml:space="preserve"> </w:t>
      </w:r>
      <w:r>
        <w:rPr>
          <w:rFonts w:hint="eastAsia" w:ascii="宋体" w:hAnsi="宋体"/>
          <w:b w:val="0"/>
          <w:bCs/>
          <w:color w:val="auto"/>
          <w:sz w:val="36"/>
          <w:szCs w:val="36"/>
          <w:highlight w:val="none"/>
          <w:u w:val="single"/>
          <w:lang w:val="en-US" w:eastAsia="zh-CN"/>
        </w:rPr>
        <w:t>泉州师范学院第二田径场项目二次委托审计服务项目</w:t>
      </w: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3"/>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single"/>
          <w:lang w:val="en-US" w:eastAsia="zh-CN"/>
        </w:rPr>
        <w:t>审计处</w:t>
      </w:r>
    </w:p>
    <w:p>
      <w:pPr>
        <w:spacing w:before="313" w:beforeLines="100" w:after="313" w:afterLines="100" w:line="360" w:lineRule="exact"/>
        <w:ind w:firstLine="3253" w:firstLineChars="900"/>
        <w:jc w:val="both"/>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05</w:t>
      </w:r>
      <w:r>
        <w:rPr>
          <w:rFonts w:hint="eastAsia" w:ascii="宋体" w:hAnsi="宋体"/>
          <w:b/>
          <w:color w:val="auto"/>
          <w:sz w:val="36"/>
          <w:szCs w:val="36"/>
          <w:highlight w:val="none"/>
        </w:rPr>
        <w:t>月</w:t>
      </w:r>
    </w:p>
    <w:p>
      <w:pPr>
        <w:pStyle w:val="22"/>
        <w:rPr>
          <w:rFonts w:hint="eastAsia"/>
          <w:color w:val="auto"/>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格式1     报价书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格式6     承诺书………………………………………………………………………… 14</w:t>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10914"/>
      <w:bookmarkStart w:id="1" w:name="_Toc26208"/>
      <w:bookmarkStart w:id="2" w:name="_Toc18223"/>
      <w:bookmarkStart w:id="3" w:name="_Toc9763"/>
      <w:bookmarkStart w:id="4" w:name="_Toc134733479"/>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i w:val="0"/>
          <w:iCs w:val="0"/>
          <w:color w:val="auto"/>
          <w:sz w:val="24"/>
          <w:szCs w:val="24"/>
          <w:highlight w:val="none"/>
        </w:rPr>
      </w:pPr>
      <w:bookmarkStart w:id="5" w:name="_Toc108257397"/>
      <w:bookmarkStart w:id="6" w:name="_Toc93397582"/>
      <w:bookmarkStart w:id="7" w:name="_Toc35222536"/>
      <w:bookmarkStart w:id="8" w:name="_Toc35071897"/>
      <w:bookmarkStart w:id="9" w:name="_Toc36123671"/>
      <w:bookmarkStart w:id="10" w:name="_Toc3785637"/>
      <w:bookmarkStart w:id="11" w:name="_Toc98672988"/>
      <w:bookmarkStart w:id="12" w:name="_Toc35742634"/>
      <w:bookmarkStart w:id="13" w:name="_Toc36146204"/>
      <w:bookmarkStart w:id="14" w:name="_Toc34789935"/>
      <w:bookmarkStart w:id="15" w:name="_Toc35599967"/>
      <w:bookmarkStart w:id="16" w:name="_Toc87857945"/>
      <w:bookmarkStart w:id="17" w:name="_Toc53335577"/>
      <w:bookmarkStart w:id="18" w:name="_Toc33775520"/>
      <w:bookmarkStart w:id="19" w:name="_Toc35068743"/>
      <w:bookmarkStart w:id="20" w:name="_Toc54513051"/>
      <w:bookmarkStart w:id="21" w:name="_Toc60130052"/>
      <w:bookmarkStart w:id="22" w:name="_Toc105389203"/>
      <w:bookmarkStart w:id="23" w:name="_Toc35941127"/>
      <w:bookmarkStart w:id="24" w:name="_Toc34745149"/>
      <w:bookmarkStart w:id="25" w:name="_Toc33953164"/>
      <w:bookmarkStart w:id="26" w:name="_Toc34664278"/>
      <w:bookmarkStart w:id="27" w:name="_Toc40761347"/>
      <w:bookmarkStart w:id="28" w:name="_Toc108257116"/>
      <w:bookmarkStart w:id="29" w:name="_Toc35622007"/>
      <w:bookmarkStart w:id="30" w:name="_Toc3785461"/>
      <w:bookmarkStart w:id="31" w:name="_Toc108260365"/>
      <w:bookmarkStart w:id="32" w:name="_Toc35107772"/>
      <w:bookmarkStart w:id="33" w:name="_Toc3785513"/>
      <w:bookmarkStart w:id="34" w:name="_Toc34703823"/>
      <w:bookmarkStart w:id="35" w:name="_Toc108257590"/>
      <w:bookmarkStart w:id="36" w:name="_Toc425276503"/>
      <w:bookmarkStart w:id="37" w:name="_Toc108257466"/>
      <w:bookmarkStart w:id="38" w:name="_Toc98731630"/>
      <w:bookmarkStart w:id="39" w:name="_Toc3785675"/>
      <w:bookmarkStart w:id="40" w:name="_Toc93397984"/>
      <w:bookmarkStart w:id="41" w:name="_Toc53570175"/>
      <w:r>
        <w:rPr>
          <w:rFonts w:hint="eastAsia" w:ascii="宋体" w:hAnsi="宋体"/>
          <w:i w:val="0"/>
          <w:iCs w:val="0"/>
          <w:color w:val="auto"/>
          <w:sz w:val="24"/>
          <w:szCs w:val="24"/>
          <w:highlight w:val="none"/>
          <w:u w:val="single"/>
          <w:lang w:val="en-US" w:eastAsia="zh-CN"/>
        </w:rPr>
        <w:t xml:space="preserve"> 泉州师范学院审计处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QZTCSJC2024002</w:t>
      </w:r>
      <w:bookmarkStart w:id="100" w:name="_GoBack"/>
      <w:bookmarkEnd w:id="100"/>
      <w:r>
        <w:rPr>
          <w:rFonts w:hint="eastAsia" w:ascii="宋体" w:hAnsi="宋体"/>
          <w:b w:val="0"/>
          <w:bCs/>
          <w:color w:val="auto"/>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泉州师范学院第二田径场项目委托审计服务项目     </w:t>
      </w:r>
    </w:p>
    <w:p>
      <w:pPr>
        <w:pStyle w:val="22"/>
        <w:keepNext w:val="0"/>
        <w:keepLines w:val="0"/>
        <w:pageBreakBefore w:val="0"/>
        <w:kinsoku/>
        <w:wordWrap/>
        <w:overflowPunct/>
        <w:topLinePunct w:val="0"/>
        <w:bidi w:val="0"/>
        <w:snapToGrid/>
        <w:spacing w:beforeAutospacing="0" w:afterAutospacing="0" w:line="360" w:lineRule="auto"/>
        <w:ind w:firstLine="480" w:firstLineChars="200"/>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人民币陆万陆仟零柒拾肆元整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13469"/>
      <w:bookmarkStart w:id="43" w:name="_Toc26626"/>
      <w:bookmarkStart w:id="44" w:name="_Toc491700004"/>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olor w:val="auto"/>
                <w:highlight w:val="none"/>
                <w:lang w:eastAsia="zh-CN"/>
              </w:rPr>
            </w:pPr>
            <w:r>
              <w:rPr>
                <w:rFonts w:hint="eastAsia" w:ascii="宋体" w:hAnsi="宋体"/>
                <w:b w:val="0"/>
                <w:bCs/>
                <w:color w:val="auto"/>
                <w:sz w:val="24"/>
                <w:szCs w:val="24"/>
                <w:highlight w:val="none"/>
                <w:u w:val="single"/>
                <w:lang w:val="en-US" w:eastAsia="zh-CN"/>
              </w:rPr>
              <w:t>泉州师范学院第二田径场项目委托审计服务项目</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66074.00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w:t>
      </w:r>
      <w:r>
        <w:rPr>
          <w:rFonts w:hint="eastAsia" w:ascii="宋体" w:hAnsi="宋体"/>
          <w:color w:val="auto"/>
          <w:sz w:val="24"/>
          <w:szCs w:val="24"/>
          <w:highlight w:val="none"/>
          <w:lang w:eastAsia="zh-CN"/>
        </w:rPr>
        <w:t>服务报价</w:t>
      </w:r>
      <w:r>
        <w:rPr>
          <w:rFonts w:hint="eastAsia" w:ascii="宋体" w:hAnsi="宋体"/>
          <w:color w:val="auto"/>
          <w:sz w:val="24"/>
          <w:szCs w:val="24"/>
          <w:highlight w:val="none"/>
        </w:rPr>
        <w:t>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p>
    <w:p>
      <w:pPr>
        <w:spacing w:line="440" w:lineRule="exact"/>
        <w:ind w:firstLine="480" w:firstLineChars="200"/>
        <w:rPr>
          <w:rFonts w:hint="eastAsia" w:ascii="宋体" w:hAnsi="宋体"/>
          <w:color w:val="auto"/>
          <w:sz w:val="24"/>
          <w:highlight w:val="none"/>
          <w:u w:val="none"/>
        </w:rPr>
      </w:pPr>
      <w:r>
        <w:rPr>
          <w:rFonts w:hint="eastAsia" w:ascii="宋体" w:hAnsi="宋体"/>
          <w:color w:val="auto"/>
          <w:sz w:val="24"/>
          <w:highlight w:val="none"/>
          <w:lang w:val="en-US" w:eastAsia="zh-CN"/>
        </w:rPr>
        <w:t>3、</w:t>
      </w:r>
      <w:r>
        <w:rPr>
          <w:rFonts w:hint="eastAsia" w:ascii="宋体" w:hAnsi="宋体" w:cs="宋体"/>
          <w:color w:val="auto"/>
          <w:kern w:val="0"/>
          <w:sz w:val="24"/>
          <w:szCs w:val="24"/>
          <w:highlight w:val="none"/>
          <w:u w:val="none"/>
          <w:shd w:val="clear" w:color="auto" w:fill="FFFFFF"/>
        </w:rPr>
        <w:t>报价供应商</w:t>
      </w:r>
      <w:r>
        <w:rPr>
          <w:rFonts w:hint="eastAsia" w:ascii="宋体" w:hAnsi="宋体" w:cs="宋体"/>
          <w:color w:val="auto"/>
          <w:sz w:val="24"/>
          <w:highlight w:val="none"/>
          <w:u w:val="none"/>
        </w:rPr>
        <w:t>须符合《中华人民共和国政府采购法》第二十二条规定条件且无行贿犯罪记录</w:t>
      </w:r>
      <w:r>
        <w:rPr>
          <w:rFonts w:hint="eastAsia" w:ascii="宋体" w:hAnsi="宋体" w:cs="宋体"/>
          <w:b/>
          <w:bCs/>
          <w:color w:val="auto"/>
          <w:sz w:val="24"/>
          <w:highlight w:val="none"/>
          <w:u w:val="none"/>
        </w:rPr>
        <w:t>（须提供相关证明文件或书面声明）</w:t>
      </w:r>
      <w:r>
        <w:rPr>
          <w:rFonts w:hint="eastAsia" w:ascii="宋体" w:hAnsi="宋体"/>
          <w:color w:val="auto"/>
          <w:sz w:val="24"/>
          <w:highlight w:val="none"/>
          <w:u w:val="none"/>
        </w:rPr>
        <w:t>；</w:t>
      </w:r>
    </w:p>
    <w:p>
      <w:pPr>
        <w:pStyle w:val="15"/>
        <w:spacing w:after="0" w:line="360" w:lineRule="auto"/>
        <w:ind w:firstLine="480" w:firstLineChars="200"/>
        <w:rPr>
          <w:rFonts w:hint="eastAsia" w:ascii="宋体" w:hAnsi="宋体" w:cs="宋体"/>
          <w:b/>
          <w:bCs/>
          <w:color w:val="auto"/>
          <w:sz w:val="24"/>
          <w:highlight w:val="none"/>
          <w:u w:val="none"/>
          <w:lang w:val="en-US" w:eastAsia="zh-CN"/>
        </w:rPr>
      </w:pPr>
      <w:r>
        <w:rPr>
          <w:rFonts w:hint="eastAsia" w:ascii="宋体" w:hAnsi="宋体"/>
          <w:color w:val="auto"/>
          <w:sz w:val="24"/>
          <w:highlight w:val="none"/>
          <w:lang w:val="en-US" w:eastAsia="zh-CN"/>
        </w:rPr>
        <w:t>4、供应商应为泉州市住房和城乡建设局公布的2023年建设工程造价咨询优良企业，只允许总所或分所其中一家参与报价</w:t>
      </w:r>
      <w:r>
        <w:rPr>
          <w:rFonts w:hint="eastAsia" w:ascii="宋体" w:hAnsi="宋体" w:cs="宋体"/>
          <w:b/>
          <w:bCs/>
          <w:color w:val="auto"/>
          <w:sz w:val="24"/>
          <w:highlight w:val="none"/>
          <w:u w:val="none"/>
        </w:rPr>
        <w:t>（须提供</w:t>
      </w:r>
      <w:r>
        <w:rPr>
          <w:rFonts w:hint="eastAsia" w:ascii="宋体" w:hAnsi="宋体"/>
          <w:b/>
          <w:bCs/>
          <w:color w:val="auto"/>
          <w:sz w:val="24"/>
          <w:highlight w:val="none"/>
          <w:lang w:val="en-US" w:eastAsia="zh-CN"/>
        </w:rPr>
        <w:t>泉州市住房和城乡建设局相关红头文件</w:t>
      </w:r>
      <w:r>
        <w:rPr>
          <w:rFonts w:hint="eastAsia" w:ascii="宋体" w:hAnsi="宋体" w:cs="宋体"/>
          <w:b/>
          <w:bCs/>
          <w:color w:val="auto"/>
          <w:sz w:val="24"/>
          <w:highlight w:val="none"/>
          <w:u w:val="none"/>
        </w:rPr>
        <w:t>）</w:t>
      </w:r>
      <w:r>
        <w:rPr>
          <w:rFonts w:hint="eastAsia" w:ascii="宋体" w:hAnsi="宋体" w:cs="宋体"/>
          <w:b/>
          <w:bCs/>
          <w:color w:val="auto"/>
          <w:sz w:val="24"/>
          <w:highlight w:val="none"/>
          <w:u w:val="none"/>
          <w:lang w:val="en-US" w:eastAsia="zh-CN"/>
        </w:rPr>
        <w:t>；</w:t>
      </w:r>
    </w:p>
    <w:p>
      <w:pPr>
        <w:pStyle w:val="15"/>
        <w:spacing w:after="0" w:line="360" w:lineRule="auto"/>
        <w:ind w:firstLine="480" w:firstLineChars="200"/>
        <w:rPr>
          <w:rFonts w:hint="eastAsia" w:ascii="宋体" w:hAnsi="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5、供应商应为福建省造价咨询企业信用评价系统2023年度全省信用分85分及以上的企业</w:t>
      </w:r>
      <w:r>
        <w:rPr>
          <w:rFonts w:hint="eastAsia" w:ascii="宋体" w:hAnsi="宋体" w:cs="宋体"/>
          <w:b/>
          <w:bCs/>
          <w:color w:val="auto"/>
          <w:sz w:val="24"/>
          <w:highlight w:val="none"/>
          <w:u w:val="none"/>
          <w:lang w:val="en-US" w:eastAsia="zh-CN"/>
        </w:rPr>
        <w:t>（福建省造价咨询企业信用评价系统网站截图）；</w:t>
      </w:r>
    </w:p>
    <w:p>
      <w:pPr>
        <w:pStyle w:val="15"/>
        <w:spacing w:after="0"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6、供应商应为2023年度中泉州市造价咨询成果文件（房建项目）检查成绩70分及以上企业</w:t>
      </w:r>
      <w:r>
        <w:rPr>
          <w:rFonts w:hint="eastAsia" w:ascii="宋体" w:hAnsi="宋体" w:cs="宋体"/>
          <w:b/>
          <w:bCs/>
          <w:color w:val="auto"/>
          <w:sz w:val="24"/>
          <w:highlight w:val="none"/>
          <w:u w:val="none"/>
        </w:rPr>
        <w:t>（须提供</w:t>
      </w:r>
      <w:r>
        <w:rPr>
          <w:rFonts w:hint="eastAsia" w:ascii="宋体" w:hAnsi="宋体"/>
          <w:b/>
          <w:bCs/>
          <w:color w:val="auto"/>
          <w:sz w:val="24"/>
          <w:highlight w:val="none"/>
          <w:lang w:val="en-US" w:eastAsia="zh-CN"/>
        </w:rPr>
        <w:t>泉州市住房和城乡建设局相关红头文件</w:t>
      </w:r>
      <w:r>
        <w:rPr>
          <w:rFonts w:hint="eastAsia" w:ascii="宋体" w:hAnsi="宋体" w:cs="宋体"/>
          <w:b/>
          <w:bCs/>
          <w:color w:val="auto"/>
          <w:sz w:val="24"/>
          <w:highlight w:val="none"/>
          <w:u w:val="none"/>
        </w:rPr>
        <w:t>）</w:t>
      </w:r>
      <w:r>
        <w:rPr>
          <w:rFonts w:hint="eastAsia" w:ascii="宋体" w:hAnsi="宋体" w:cs="宋体"/>
          <w:b/>
          <w:bCs/>
          <w:color w:val="auto"/>
          <w:sz w:val="24"/>
          <w:highlight w:val="none"/>
          <w:u w:val="none"/>
          <w:lang w:val="en-US" w:eastAsia="zh-CN"/>
        </w:rPr>
        <w:t>；</w:t>
      </w:r>
    </w:p>
    <w:p>
      <w:pPr>
        <w:pStyle w:val="15"/>
        <w:spacing w:after="0" w:line="360" w:lineRule="auto"/>
        <w:ind w:firstLine="480" w:firstLineChars="200"/>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7、项目负责人应具有注册造价师执业资格且注册在本单位、从事造价咨询工作5年以上</w:t>
      </w:r>
      <w:r>
        <w:rPr>
          <w:rFonts w:hint="eastAsia" w:ascii="宋体" w:hAnsi="宋体"/>
          <w:b/>
          <w:bCs/>
          <w:color w:val="auto"/>
          <w:sz w:val="24"/>
          <w:highlight w:val="none"/>
          <w:lang w:val="en-US" w:eastAsia="zh-CN"/>
        </w:rPr>
        <w:t>（须提供近五年的社保缴交记录，注册造价师执业资格证书复印件）。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05</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11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15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05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11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15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eastAsia="宋体"/>
          <w:color w:val="auto"/>
          <w:sz w:val="24"/>
          <w:szCs w:val="24"/>
          <w:highlight w:val="none"/>
          <w:u w:val="single"/>
          <w:lang w:val="en-US" w:eastAsia="zh-CN"/>
        </w:rPr>
        <w:t>南益行政楼405。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骆老师</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olor w:val="auto"/>
          <w:sz w:val="24"/>
          <w:szCs w:val="24"/>
          <w:highlight w:val="none"/>
          <w:u w:val="single"/>
          <w:lang w:val="en-US" w:eastAsia="zh-CN"/>
        </w:rPr>
        <w:t>0595-</w:t>
      </w:r>
      <w:r>
        <w:rPr>
          <w:rFonts w:hint="eastAsia" w:ascii="宋体" w:hAnsi="宋体" w:cs="宋体"/>
          <w:color w:val="auto"/>
          <w:sz w:val="24"/>
          <w:szCs w:val="24"/>
          <w:u w:val="single"/>
          <w:lang w:val="en-US" w:eastAsia="zh-CN"/>
        </w:rPr>
        <w:t>22919669</w:t>
      </w:r>
      <w:r>
        <w:rPr>
          <w:rFonts w:hint="eastAsia" w:ascii="宋体" w:hAnsi="宋体" w:cs="宋体"/>
          <w:color w:val="auto"/>
          <w:kern w:val="2"/>
          <w:sz w:val="24"/>
          <w:szCs w:val="24"/>
          <w:highlight w:val="none"/>
          <w:lang w:val="zh-CN" w:eastAsia="zh-CN" w:bidi="ar-SA"/>
        </w:rPr>
        <w:t>。</w:t>
      </w:r>
    </w:p>
    <w:p>
      <w:pPr>
        <w:pStyle w:val="15"/>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3"/>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 审计处</w:t>
            </w:r>
          </w:p>
          <w:p>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u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u w:val="none"/>
                <w:shd w:val="clear" w:color="auto" w:fill="FFFFFF"/>
              </w:rPr>
              <w:t>报价供应商</w:t>
            </w:r>
            <w:r>
              <w:rPr>
                <w:rFonts w:hint="eastAsia" w:ascii="宋体" w:hAnsi="宋体" w:cs="宋体"/>
                <w:color w:val="auto"/>
                <w:sz w:val="24"/>
                <w:highlight w:val="none"/>
                <w:u w:val="none"/>
              </w:rPr>
              <w:t>须符合《中华人民共和国政府采购法》第二十二条规定条件且无行贿犯罪记录</w:t>
            </w:r>
            <w:r>
              <w:rPr>
                <w:rFonts w:hint="eastAsia" w:ascii="宋体" w:hAnsi="宋体" w:cs="宋体"/>
                <w:b/>
                <w:bCs/>
                <w:color w:val="auto"/>
                <w:sz w:val="24"/>
                <w:highlight w:val="none"/>
                <w:u w:val="none"/>
              </w:rPr>
              <w:t>（须提供相关证明文件或书面声明）</w:t>
            </w:r>
            <w:r>
              <w:rPr>
                <w:rFonts w:hint="eastAsia" w:ascii="宋体" w:hAnsi="宋体"/>
                <w:color w:val="auto"/>
                <w:sz w:val="24"/>
                <w:highlight w:val="none"/>
                <w:u w:val="none"/>
              </w:rPr>
              <w:t>；</w:t>
            </w:r>
          </w:p>
          <w:p>
            <w:pPr>
              <w:pStyle w:val="15"/>
              <w:spacing w:after="0" w:line="360" w:lineRule="auto"/>
              <w:ind w:firstLine="0" w:firstLineChars="0"/>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6、供应商应为泉州市住房和城乡建设局公布的2023年建设工程造价咨询优良企业，只允许总所或分所其中一家参与报价</w:t>
            </w:r>
            <w:r>
              <w:rPr>
                <w:rFonts w:hint="eastAsia" w:ascii="宋体" w:hAnsi="宋体"/>
                <w:b/>
                <w:bCs/>
                <w:color w:val="auto"/>
                <w:sz w:val="24"/>
                <w:highlight w:val="none"/>
                <w:lang w:val="en-US" w:eastAsia="zh-CN"/>
              </w:rPr>
              <w:t>（须提供泉州市住房和城乡建设局相关红头文件）；</w:t>
            </w:r>
          </w:p>
          <w:p>
            <w:pPr>
              <w:pStyle w:val="15"/>
              <w:spacing w:after="0" w:line="360" w:lineRule="auto"/>
              <w:ind w:firstLine="0"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7、供应商应为福建省造价咨询企业信用评价系统2023年度全省信用分85分及以上的企业</w:t>
            </w:r>
            <w:r>
              <w:rPr>
                <w:rFonts w:hint="eastAsia" w:ascii="宋体" w:hAnsi="宋体"/>
                <w:b/>
                <w:bCs/>
                <w:color w:val="auto"/>
                <w:sz w:val="24"/>
                <w:highlight w:val="none"/>
                <w:lang w:val="en-US" w:eastAsia="zh-CN"/>
              </w:rPr>
              <w:t>（福建省造价咨询企业信用评价系统网站截图）；</w:t>
            </w:r>
          </w:p>
          <w:p>
            <w:pPr>
              <w:pStyle w:val="15"/>
              <w:spacing w:after="0" w:line="360" w:lineRule="auto"/>
              <w:ind w:firstLine="0"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8、供应商应为2023年度中泉州市造价咨询成果文件（房建项目）检查成绩70分及以上企业（</w:t>
            </w:r>
            <w:r>
              <w:rPr>
                <w:rFonts w:hint="eastAsia" w:ascii="宋体" w:hAnsi="宋体"/>
                <w:b/>
                <w:bCs/>
                <w:color w:val="auto"/>
                <w:sz w:val="24"/>
                <w:highlight w:val="none"/>
                <w:lang w:val="en-US" w:eastAsia="zh-CN"/>
              </w:rPr>
              <w:t>须提供泉州市住房和城乡建设局相关红头文件）；</w:t>
            </w:r>
          </w:p>
          <w:p>
            <w:pPr>
              <w:pStyle w:val="15"/>
              <w:spacing w:after="0" w:line="360" w:lineRule="auto"/>
              <w:ind w:firstLine="0" w:firstLineChars="0"/>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9、项目负责人应具有注册造价师执业资格且注册在本单位、从事造价咨询工作5年以上</w:t>
            </w:r>
            <w:r>
              <w:rPr>
                <w:rFonts w:hint="eastAsia" w:ascii="宋体" w:hAnsi="宋体"/>
                <w:b/>
                <w:bCs/>
                <w:color w:val="auto"/>
                <w:sz w:val="24"/>
                <w:highlight w:val="none"/>
                <w:lang w:val="en-US" w:eastAsia="zh-CN"/>
              </w:rPr>
              <w:t>（须提供近五年的社保缴交记录，注册造价师执业资格证书复印件）。</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cs="宋体"/>
                <w:color w:val="auto"/>
                <w:sz w:val="24"/>
              </w:rPr>
              <w:t>本项目无须缴纳履约保证金</w:t>
            </w:r>
            <w:r>
              <w:rPr>
                <w:rFonts w:hint="eastAsia" w:ascii="宋体" w:hAnsi="宋体"/>
                <w:b/>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b/>
                <w:color w:val="auto"/>
                <w:sz w:val="24"/>
                <w:highlight w:val="none"/>
                <w:lang w:val="en-US" w:eastAsia="zh-CN"/>
              </w:rPr>
            </w:pPr>
            <w:bookmarkStart w:id="47" w:name="_Toc12454"/>
            <w:bookmarkStart w:id="48" w:name="_Toc5918"/>
            <w:bookmarkStart w:id="49" w:name="_Toc4338"/>
            <w:r>
              <w:rPr>
                <w:rFonts w:hint="eastAsia"/>
                <w:b/>
                <w:color w:val="auto"/>
                <w:sz w:val="24"/>
                <w:highlight w:val="none"/>
                <w:lang w:val="en-US" w:eastAsia="zh-CN"/>
              </w:rPr>
              <w:t>14</w:t>
            </w:r>
          </w:p>
        </w:tc>
        <w:tc>
          <w:tcPr>
            <w:tcW w:w="8951" w:type="dxa"/>
            <w:noWrap w:val="0"/>
            <w:vAlign w:val="center"/>
          </w:tcPr>
          <w:p>
            <w:pPr>
              <w:spacing w:line="440" w:lineRule="exact"/>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对审核成果质量要求：投标供应商对其出具审核报告做出承诺，经泉州市财政评审中心再次审核环节，在施工单位在此环节不得再补充任何影响评审结果资料的前体下，若其审核报告经泉州市财政评审中心再次审核后，审减率在3%（含3%）以内的，按中标审核费100%支付；审减率在3%—5%（含5%）之间的，按中标审核费50%支付；审减率超过5%的，不支付审核费，承诺函格式自拟。</w:t>
            </w:r>
          </w:p>
        </w:tc>
      </w:tr>
      <w:bookmarkEnd w:id="47"/>
      <w:bookmarkEnd w:id="48"/>
      <w:bookmarkEnd w:id="49"/>
    </w:tbl>
    <w:p>
      <w:pPr>
        <w:pStyle w:val="2"/>
        <w:pageBreakBefore w:val="0"/>
        <w:kinsoku/>
        <w:wordWrap/>
        <w:overflowPunct/>
        <w:topLinePunct w:val="0"/>
        <w:bidi w:val="0"/>
        <w:snapToGrid/>
        <w:spacing w:before="0" w:after="0" w:line="360" w:lineRule="auto"/>
        <w:ind w:left="0"/>
        <w:jc w:val="center"/>
        <w:textAlignment w:val="auto"/>
        <w:rPr>
          <w:rFonts w:hint="eastAsia" w:ascii="宋体" w:hAnsi="宋体" w:eastAsia="宋体"/>
          <w:color w:val="auto"/>
          <w:sz w:val="24"/>
          <w:szCs w:val="24"/>
          <w:highlight w:val="none"/>
          <w:lang w:eastAsia="zh-CN"/>
        </w:rPr>
      </w:pPr>
      <w:bookmarkStart w:id="50" w:name="_Toc1931"/>
      <w:bookmarkStart w:id="51" w:name="_Toc34"/>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keepNext w:val="0"/>
        <w:keepLines w:val="0"/>
        <w:pageBreakBefore w:val="0"/>
        <w:numPr>
          <w:ilvl w:val="0"/>
          <w:numId w:val="0"/>
        </w:numPr>
        <w:kinsoku/>
        <w:wordWrap/>
        <w:overflowPunct/>
        <w:topLinePunct w:val="0"/>
        <w:bidi w:val="0"/>
        <w:snapToGrid/>
        <w:spacing w:line="360" w:lineRule="auto"/>
        <w:ind w:left="0" w:firstLine="482" w:firstLineChars="200"/>
        <w:textAlignment w:val="auto"/>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一、基本技术参数及要求</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1.审计项目</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eastAsia="zh-CN"/>
        </w:rPr>
        <w:t>泉州师范学院</w:t>
      </w:r>
      <w:r>
        <w:rPr>
          <w:rFonts w:hint="eastAsia" w:asciiTheme="minorEastAsia" w:hAnsiTheme="minorEastAsia" w:eastAsiaTheme="minorEastAsia" w:cstheme="minorEastAsia"/>
          <w:color w:val="auto"/>
          <w:sz w:val="24"/>
          <w:szCs w:val="24"/>
          <w:lang w:val="en-US" w:eastAsia="zh-CN"/>
        </w:rPr>
        <w:t>第二田径场项目进行结算审计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送</w:t>
      </w:r>
      <w:r>
        <w:rPr>
          <w:rFonts w:hint="eastAsia" w:asciiTheme="minorEastAsia" w:hAnsiTheme="minorEastAsia" w:eastAsiaTheme="minorEastAsia" w:cstheme="minorEastAsia"/>
          <w:color w:val="auto"/>
          <w:sz w:val="24"/>
          <w:szCs w:val="24"/>
          <w:lang w:eastAsia="zh-CN"/>
        </w:rPr>
        <w:t>审金额</w:t>
      </w:r>
      <w:r>
        <w:rPr>
          <w:rFonts w:hint="eastAsia" w:asciiTheme="minorEastAsia" w:hAnsiTheme="minorEastAsia" w:eastAsiaTheme="minorEastAsia" w:cstheme="minorEastAsia"/>
          <w:color w:val="auto"/>
          <w:sz w:val="24"/>
          <w:szCs w:val="24"/>
          <w:lang w:val="en-US" w:eastAsia="zh-CN"/>
        </w:rPr>
        <w:t>为2796.4675万元</w:t>
      </w:r>
      <w:r>
        <w:rPr>
          <w:rFonts w:hint="eastAsia" w:asciiTheme="minorEastAsia" w:hAnsiTheme="minorEastAsia" w:eastAsiaTheme="minorEastAsia" w:cstheme="minorEastAsia"/>
          <w:color w:val="auto"/>
          <w:sz w:val="24"/>
          <w:szCs w:val="24"/>
          <w:lang w:eastAsia="zh-CN"/>
        </w:rPr>
        <w:t>。</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2.审计期</w:t>
      </w:r>
      <w:r>
        <w:rPr>
          <w:rFonts w:hint="eastAsia" w:asciiTheme="minorEastAsia" w:hAnsiTheme="minorEastAsia" w:eastAsiaTheme="minorEastAsia" w:cstheme="minorEastAsia"/>
          <w:color w:val="auto"/>
          <w:sz w:val="24"/>
          <w:szCs w:val="24"/>
          <w:lang w:val="en-US" w:eastAsia="zh-CN"/>
        </w:rPr>
        <w:t>限</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自委托之日起45个工作日完成（除因委托方提供补充审核资料拖延时间外）</w:t>
      </w:r>
      <w:r>
        <w:rPr>
          <w:rFonts w:hint="eastAsia" w:asciiTheme="minorEastAsia" w:hAnsiTheme="minorEastAsia" w:eastAsiaTheme="minorEastAsia" w:cstheme="minorEastAsia"/>
          <w:color w:val="auto"/>
          <w:sz w:val="24"/>
          <w:szCs w:val="24"/>
        </w:rPr>
        <w:t>。</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委托</w:t>
      </w:r>
      <w:r>
        <w:rPr>
          <w:rFonts w:hint="eastAsia" w:asciiTheme="minorEastAsia" w:hAnsiTheme="minorEastAsia" w:eastAsiaTheme="minorEastAsia" w:cstheme="minorEastAsia"/>
          <w:color w:val="auto"/>
          <w:sz w:val="24"/>
          <w:szCs w:val="24"/>
        </w:rPr>
        <w:t>审计主要</w:t>
      </w:r>
      <w:r>
        <w:rPr>
          <w:rFonts w:hint="eastAsia" w:asciiTheme="minorEastAsia" w:hAnsiTheme="minorEastAsia" w:eastAsiaTheme="minorEastAsia" w:cstheme="minorEastAsia"/>
          <w:color w:val="auto"/>
          <w:sz w:val="24"/>
          <w:szCs w:val="24"/>
          <w:lang w:val="en-US" w:eastAsia="zh-CN"/>
        </w:rPr>
        <w:t>依据</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default" w:asciiTheme="minorEastAsia" w:hAnsi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lang w:val="en-US" w:eastAsia="zh-CN"/>
        </w:rPr>
        <w:t>根据《泉州市审批服务中介超市管理规定(试行)》（泉行政管规[2023]1号）、泉州市住房和城乡建设局关于公布《2023年度建设工程造价咨询优良企业名单的通知》（泉建筑[2024]26号），以及《泉州师范学院建设工程项目审计实施办法》（泉师审计[2024]1号）、《泉州师范学院建设工程项目招标管理办法（修订）》（泉师资[2024]3号）等相关文件规定，经研究决定，按《关于招标代理、工程造价咨询行业服务收费的指导意见》（闽招协[2021]32号）收费标准的60%计算作为本项目的最高控制</w:t>
      </w:r>
      <w:r>
        <w:rPr>
          <w:rFonts w:hint="eastAsia" w:asciiTheme="minorEastAsia" w:hAnsiTheme="minorEastAsia" w:cstheme="minorEastAsia"/>
          <w:color w:val="auto"/>
          <w:sz w:val="24"/>
          <w:szCs w:val="24"/>
          <w:u w:val="none"/>
          <w:lang w:val="en-US" w:eastAsia="zh-CN"/>
        </w:rPr>
        <w:t>价。</w:t>
      </w:r>
    </w:p>
    <w:p>
      <w:pPr>
        <w:pStyle w:val="26"/>
        <w:keepNext w:val="0"/>
        <w:keepLines w:val="0"/>
        <w:pageBreakBefore w:val="0"/>
        <w:widowControl/>
        <w:kinsoku/>
        <w:wordWrap/>
        <w:overflowPunct/>
        <w:topLinePunct w:val="0"/>
        <w:autoSpaceDE/>
        <w:autoSpaceDN/>
        <w:bidi w:val="0"/>
        <w:adjustRightInd/>
        <w:snapToGrid/>
        <w:spacing w:line="360" w:lineRule="auto"/>
        <w:ind w:left="0" w:firstLine="6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.项目服务要求</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)成交供应商在审计过程中应严格执行国家及各级政府部门或机构制订颁布的有关</w:t>
      </w:r>
      <w:r>
        <w:rPr>
          <w:rFonts w:hint="eastAsia" w:asciiTheme="minorEastAsia" w:hAnsiTheme="minorEastAsia" w:cstheme="minorEastAsia"/>
          <w:color w:val="auto"/>
          <w:sz w:val="24"/>
          <w:szCs w:val="24"/>
          <w:lang w:val="en-US" w:eastAsia="zh-CN"/>
        </w:rPr>
        <w:t>造价咨询</w:t>
      </w:r>
      <w:r>
        <w:rPr>
          <w:rFonts w:hint="eastAsia" w:asciiTheme="minorEastAsia" w:hAnsiTheme="minorEastAsia" w:eastAsiaTheme="minorEastAsia" w:cstheme="minorEastAsia"/>
          <w:color w:val="auto"/>
          <w:sz w:val="24"/>
          <w:szCs w:val="24"/>
        </w:rPr>
        <w:t>等方面的法律、法规、规章、制度、准则、规则等；严格遵循中介机构的执业操守，坚持客观、</w:t>
      </w:r>
      <w:r>
        <w:rPr>
          <w:rFonts w:hint="eastAsia" w:asciiTheme="minorEastAsia" w:hAnsiTheme="minorEastAsia" w:cstheme="minorEastAsia"/>
          <w:color w:val="auto"/>
          <w:sz w:val="24"/>
          <w:szCs w:val="24"/>
          <w:lang w:val="en-US" w:eastAsia="zh-CN"/>
        </w:rPr>
        <w:t>独立</w:t>
      </w:r>
      <w:r>
        <w:rPr>
          <w:rFonts w:hint="eastAsia" w:asciiTheme="minorEastAsia" w:hAnsiTheme="minorEastAsia" w:eastAsiaTheme="minorEastAsia" w:cstheme="minorEastAsia"/>
          <w:color w:val="auto"/>
          <w:sz w:val="24"/>
          <w:szCs w:val="24"/>
        </w:rPr>
        <w:t>的原则</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不得与任何可能影响独立审核人员接触；遵守与采购人签订的保守秘密的约定。</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项目负责人一经确定，不得随意更换，直至项目结束。若中途需要更换服务人员，更换的人员资质经验不低于原有人员，且须经采购人同意。供应商所提供的参审人员在服务期内，若发现不能胜任工作、违反采购人的纪律或个人身体方面原因，采购人可要求供应商调换参审人员。</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)成交供应商应制定详细的审计工作方案，</w:t>
      </w:r>
      <w:r>
        <w:rPr>
          <w:rFonts w:hint="eastAsia" w:asciiTheme="minorEastAsia" w:hAnsiTheme="minorEastAsia" w:cstheme="minorEastAsia"/>
          <w:color w:val="auto"/>
          <w:sz w:val="24"/>
          <w:szCs w:val="24"/>
          <w:lang w:val="en-US" w:eastAsia="zh-CN"/>
        </w:rPr>
        <w:t>审</w:t>
      </w:r>
      <w:r>
        <w:rPr>
          <w:rFonts w:hint="eastAsia" w:asciiTheme="minorEastAsia" w:hAnsiTheme="minorEastAsia" w:eastAsiaTheme="minorEastAsia" w:cstheme="minorEastAsia"/>
          <w:color w:val="auto"/>
          <w:sz w:val="24"/>
          <w:szCs w:val="24"/>
        </w:rPr>
        <w:t>核风险规避措施、审计质量控制及有关的审计服务承诺。</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供应商应独立配合采购人完成审计任务，接受指导与监督，以及对其审计工作质量和履行协议情况的评定，并严格按照采购人指定的审计任务和审计要求开展审计工作。</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采购人可组织人员对成交供应商的工作进度、服务质量等进行抽查，如发现其工作进度、服务质量等不符合要求的，采购人有权要求成交供应商及时改进。成交供应商拒不改进或未能及时改进的，采购人将酌情扣减审计服务费，并将相关情况通报给相关行业管理协会。</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成交供应商在审计过程中</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eastAsia="zh-CN"/>
        </w:rPr>
        <w:t>发现</w:t>
      </w:r>
      <w:r>
        <w:rPr>
          <w:rFonts w:hint="eastAsia" w:asciiTheme="minorEastAsia" w:hAnsiTheme="minorEastAsia" w:cstheme="minorEastAsia"/>
          <w:color w:val="auto"/>
          <w:sz w:val="24"/>
          <w:szCs w:val="24"/>
          <w:lang w:eastAsia="zh-CN"/>
        </w:rPr>
        <w:t>重大</w:t>
      </w:r>
      <w:r>
        <w:rPr>
          <w:rFonts w:hint="eastAsia" w:asciiTheme="minorEastAsia" w:hAnsiTheme="minorEastAsia" w:eastAsiaTheme="minorEastAsia" w:cstheme="minorEastAsia"/>
          <w:color w:val="auto"/>
          <w:sz w:val="24"/>
          <w:szCs w:val="24"/>
          <w:lang w:eastAsia="zh-CN"/>
        </w:rPr>
        <w:t>问题</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如虚增工程量、伪造签证等)</w:t>
      </w:r>
      <w:r>
        <w:rPr>
          <w:rFonts w:hint="eastAsia" w:asciiTheme="minorEastAsia" w:hAnsiTheme="minorEastAsia" w:cstheme="minorEastAsia"/>
          <w:color w:val="auto"/>
          <w:sz w:val="24"/>
          <w:szCs w:val="24"/>
          <w:lang w:eastAsia="zh-CN"/>
        </w:rPr>
        <w:t>应</w:t>
      </w:r>
      <w:r>
        <w:rPr>
          <w:rFonts w:hint="eastAsia" w:asciiTheme="minorEastAsia" w:hAnsiTheme="minorEastAsia" w:eastAsiaTheme="minorEastAsia" w:cstheme="minorEastAsia"/>
          <w:color w:val="auto"/>
          <w:sz w:val="24"/>
          <w:szCs w:val="24"/>
          <w:lang w:eastAsia="zh-CN"/>
        </w:rPr>
        <w:t>及时向采购人</w:t>
      </w:r>
      <w:r>
        <w:rPr>
          <w:rFonts w:hint="eastAsia" w:asciiTheme="minorEastAsia" w:hAnsiTheme="minorEastAsia" w:cstheme="minorEastAsia"/>
          <w:color w:val="auto"/>
          <w:sz w:val="24"/>
          <w:szCs w:val="24"/>
          <w:lang w:eastAsia="zh-CN"/>
        </w:rPr>
        <w:t>报告、</w:t>
      </w:r>
      <w:r>
        <w:rPr>
          <w:rFonts w:hint="eastAsia" w:asciiTheme="minorEastAsia" w:hAnsiTheme="minorEastAsia" w:eastAsiaTheme="minorEastAsia" w:cstheme="minorEastAsia"/>
          <w:color w:val="auto"/>
          <w:sz w:val="24"/>
          <w:szCs w:val="24"/>
          <w:lang w:eastAsia="zh-CN"/>
        </w:rPr>
        <w:t>沟通、协调</w:t>
      </w:r>
      <w:r>
        <w:rPr>
          <w:rFonts w:hint="eastAsia" w:asciiTheme="minorEastAsia" w:hAnsiTheme="minorEastAsia" w:eastAsiaTheme="minorEastAsia" w:cstheme="minorEastAsia"/>
          <w:color w:val="auto"/>
          <w:sz w:val="24"/>
          <w:szCs w:val="24"/>
          <w:lang w:val="en-US" w:eastAsia="zh-Hans"/>
        </w:rPr>
        <w:t>，并根据采购人提出的整改意见及时整改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成交供应商应按规范程序</w:t>
      </w:r>
      <w:r>
        <w:rPr>
          <w:rFonts w:hint="eastAsia" w:asciiTheme="minorEastAsia" w:hAnsiTheme="minorEastAsia" w:cstheme="minorEastAsia"/>
          <w:color w:val="auto"/>
          <w:sz w:val="24"/>
          <w:szCs w:val="24"/>
          <w:lang w:val="en-US" w:eastAsia="zh-CN"/>
        </w:rPr>
        <w:t>依法依规审计，</w:t>
      </w:r>
      <w:r>
        <w:rPr>
          <w:rFonts w:hint="eastAsia" w:asciiTheme="minorEastAsia" w:hAnsiTheme="minorEastAsia" w:eastAsiaTheme="minorEastAsia" w:cstheme="minorEastAsia"/>
          <w:color w:val="auto"/>
          <w:sz w:val="24"/>
          <w:szCs w:val="24"/>
        </w:rPr>
        <w:t>编制审计</w:t>
      </w:r>
      <w:r>
        <w:rPr>
          <w:rFonts w:hint="eastAsia" w:asciiTheme="minorEastAsia" w:hAnsiTheme="minorEastAsia" w:cstheme="minorEastAsia"/>
          <w:color w:val="auto"/>
          <w:sz w:val="24"/>
          <w:szCs w:val="24"/>
          <w:lang w:val="en-US" w:eastAsia="zh-CN"/>
        </w:rPr>
        <w:t>工作底稿</w:t>
      </w:r>
      <w:r>
        <w:rPr>
          <w:rFonts w:hint="eastAsia" w:asciiTheme="minorEastAsia" w:hAnsiTheme="minorEastAsia" w:eastAsiaTheme="minorEastAsia" w:cstheme="minorEastAsia"/>
          <w:color w:val="auto"/>
          <w:sz w:val="24"/>
          <w:szCs w:val="24"/>
        </w:rPr>
        <w:t>，对在审计过程中发现的问题给予充分体现，对查出的问题</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做到事实清楚、证据充分，定性准确</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同时还应提供</w:t>
      </w:r>
      <w:r>
        <w:rPr>
          <w:rFonts w:hint="eastAsia" w:asciiTheme="minorEastAsia" w:hAnsiTheme="minorEastAsia" w:cstheme="minorEastAsia"/>
          <w:color w:val="auto"/>
          <w:sz w:val="24"/>
          <w:szCs w:val="24"/>
          <w:lang w:eastAsia="zh-CN"/>
        </w:rPr>
        <w:t>恰当</w:t>
      </w:r>
      <w:r>
        <w:rPr>
          <w:rFonts w:hint="eastAsia" w:asciiTheme="minorEastAsia" w:hAnsiTheme="minorEastAsia" w:eastAsiaTheme="minorEastAsia" w:cstheme="minorEastAsia"/>
          <w:color w:val="auto"/>
          <w:sz w:val="24"/>
          <w:szCs w:val="24"/>
        </w:rPr>
        <w:t>建议，并在约定时间内完成审计</w:t>
      </w:r>
      <w:r>
        <w:rPr>
          <w:rFonts w:hint="eastAsia" w:asciiTheme="minorEastAsia" w:hAnsiTheme="minorEastAsia" w:cstheme="minorEastAsia"/>
          <w:color w:val="auto"/>
          <w:sz w:val="24"/>
          <w:szCs w:val="24"/>
          <w:lang w:eastAsia="zh-CN"/>
        </w:rPr>
        <w:t>。</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Hans"/>
        </w:rPr>
        <w:t>(</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lang w:val="en-US" w:eastAsia="zh-Hans"/>
        </w:rPr>
        <w:t>)</w:t>
      </w:r>
      <w:r>
        <w:rPr>
          <w:rFonts w:hint="eastAsia" w:asciiTheme="minorEastAsia" w:hAnsiTheme="minorEastAsia" w:cstheme="minorEastAsia"/>
          <w:color w:val="auto"/>
          <w:kern w:val="0"/>
          <w:sz w:val="24"/>
          <w:szCs w:val="24"/>
          <w:lang w:val="en-US" w:eastAsia="zh-CN"/>
        </w:rPr>
        <w:t>审计</w:t>
      </w:r>
      <w:r>
        <w:rPr>
          <w:rFonts w:hint="eastAsia" w:asciiTheme="minorEastAsia" w:hAnsiTheme="minorEastAsia" w:eastAsiaTheme="minorEastAsia" w:cstheme="minorEastAsia"/>
          <w:color w:val="auto"/>
          <w:sz w:val="24"/>
          <w:szCs w:val="24"/>
          <w:lang w:val="en-US" w:eastAsia="zh-Hans"/>
        </w:rPr>
        <w:t>服务完成后，</w:t>
      </w:r>
      <w:r>
        <w:rPr>
          <w:rFonts w:hint="eastAsia" w:asciiTheme="minorEastAsia" w:hAnsiTheme="minorEastAsia" w:eastAsiaTheme="minorEastAsia" w:cstheme="minorEastAsia"/>
          <w:color w:val="auto"/>
          <w:sz w:val="24"/>
          <w:szCs w:val="24"/>
          <w:lang w:val="en-US" w:eastAsia="zh-CN"/>
        </w:rPr>
        <w:t>成交供应商审计报告定稿后，向采购人提出请求，经采购人复核后，出具审计报告征求意见稿，</w:t>
      </w:r>
      <w:r>
        <w:rPr>
          <w:rFonts w:hint="eastAsia" w:asciiTheme="minorEastAsia" w:hAnsiTheme="minorEastAsia" w:cstheme="minorEastAsia"/>
          <w:color w:val="auto"/>
          <w:sz w:val="24"/>
          <w:szCs w:val="24"/>
          <w:lang w:val="en-US" w:eastAsia="zh-CN"/>
        </w:rPr>
        <w:t>对施工单位存在异议的，在采购人的组织下，进行核对，</w:t>
      </w:r>
      <w:r>
        <w:rPr>
          <w:rFonts w:hint="eastAsia" w:asciiTheme="minorEastAsia" w:hAnsiTheme="minorEastAsia" w:eastAsiaTheme="minorEastAsia" w:cstheme="minorEastAsia"/>
          <w:color w:val="auto"/>
          <w:sz w:val="24"/>
          <w:szCs w:val="24"/>
          <w:lang w:val="en-US" w:eastAsia="zh-CN"/>
        </w:rPr>
        <w:t>再根据</w:t>
      </w:r>
      <w:r>
        <w:rPr>
          <w:rFonts w:hint="eastAsia" w:asciiTheme="minorEastAsia" w:hAnsiTheme="minorEastAsia" w:cstheme="minorEastAsia"/>
          <w:color w:val="auto"/>
          <w:sz w:val="24"/>
          <w:szCs w:val="24"/>
          <w:lang w:val="en-US" w:eastAsia="zh-CN"/>
        </w:rPr>
        <w:t>核对情况</w:t>
      </w:r>
      <w:r>
        <w:rPr>
          <w:rFonts w:hint="eastAsia" w:asciiTheme="minorEastAsia" w:hAnsiTheme="minorEastAsia" w:eastAsiaTheme="minorEastAsia" w:cstheme="minorEastAsia"/>
          <w:color w:val="auto"/>
          <w:sz w:val="24"/>
          <w:szCs w:val="24"/>
          <w:lang w:val="en-US" w:eastAsia="zh-CN"/>
        </w:rPr>
        <w:t>出具正式</w:t>
      </w:r>
      <w:r>
        <w:rPr>
          <w:rFonts w:hint="eastAsia" w:asciiTheme="minorEastAsia" w:hAnsiTheme="minorEastAsia" w:cstheme="minorEastAsia"/>
          <w:color w:val="auto"/>
          <w:sz w:val="24"/>
          <w:szCs w:val="24"/>
          <w:lang w:val="en-US" w:eastAsia="zh-CN"/>
        </w:rPr>
        <w:t>审计</w:t>
      </w:r>
      <w:r>
        <w:rPr>
          <w:rFonts w:hint="eastAsia" w:asciiTheme="minorEastAsia" w:hAnsiTheme="minorEastAsia" w:eastAsiaTheme="minorEastAsia" w:cstheme="minorEastAsia"/>
          <w:color w:val="auto"/>
          <w:sz w:val="24"/>
          <w:szCs w:val="24"/>
          <w:lang w:val="en-US" w:eastAsia="zh-CN"/>
        </w:rPr>
        <w:t>报告。</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lang w:val="en-US" w:eastAsia="zh-Hans"/>
        </w:rPr>
      </w:pPr>
      <w:r>
        <w:rPr>
          <w:rFonts w:hint="eastAsia" w:asciiTheme="minorEastAsia" w:hAnsiTheme="minorEastAsia" w:eastAsiaTheme="minorEastAsia" w:cstheme="minorEastAsia"/>
          <w:color w:val="auto"/>
          <w:kern w:val="0"/>
          <w:sz w:val="24"/>
          <w:szCs w:val="24"/>
          <w:lang w:val="en-US" w:eastAsia="zh-Hans"/>
        </w:rPr>
        <w:t>(</w:t>
      </w: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lang w:val="en-US" w:eastAsia="zh-Hans"/>
        </w:rPr>
        <w:t>)</w:t>
      </w:r>
      <w:r>
        <w:rPr>
          <w:rFonts w:hint="eastAsia" w:cs="宋体" w:eastAsiaTheme="minorEastAsia"/>
          <w:lang w:eastAsia="zh-CN"/>
        </w:rPr>
        <w:t>成交供应商</w:t>
      </w:r>
      <w:r>
        <w:rPr>
          <w:rFonts w:hint="eastAsia" w:cs="宋体"/>
        </w:rPr>
        <w:t>应当对出具审计报告、经济鉴证证明的真实性、准确性、完整性承担责任。</w:t>
      </w:r>
    </w:p>
    <w:p>
      <w:pPr>
        <w:pStyle w:val="26"/>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)供应商对审计过程中知悉的国家秘密、商业秘密及有关资料负有保密责任，除法律另有规定外，未经采购人同意，不得将</w:t>
      </w:r>
      <w:r>
        <w:rPr>
          <w:rFonts w:hint="eastAsia" w:asciiTheme="minorEastAsia" w:hAnsiTheme="minorEastAsia" w:cstheme="minorEastAsia"/>
          <w:color w:val="auto"/>
          <w:sz w:val="24"/>
          <w:szCs w:val="24"/>
          <w:lang w:val="en-US" w:eastAsia="zh-CN"/>
        </w:rPr>
        <w:t>施工</w:t>
      </w:r>
      <w:r>
        <w:rPr>
          <w:rFonts w:hint="eastAsia" w:asciiTheme="minorEastAsia" w:hAnsiTheme="minorEastAsia" w:eastAsiaTheme="minorEastAsia" w:cstheme="minorEastAsia"/>
          <w:color w:val="auto"/>
          <w:sz w:val="24"/>
          <w:szCs w:val="24"/>
        </w:rPr>
        <w:t>单位提供的资料泄露给采购人以外的第三者；若供应商与</w:t>
      </w:r>
      <w:r>
        <w:rPr>
          <w:rFonts w:hint="eastAsia" w:asciiTheme="minorEastAsia" w:hAnsiTheme="minorEastAsia" w:cstheme="minorEastAsia"/>
          <w:color w:val="auto"/>
          <w:sz w:val="24"/>
          <w:szCs w:val="24"/>
          <w:lang w:val="en-US" w:eastAsia="zh-CN"/>
        </w:rPr>
        <w:t>施工</w:t>
      </w:r>
      <w:r>
        <w:rPr>
          <w:rFonts w:hint="eastAsia" w:asciiTheme="minorEastAsia" w:hAnsiTheme="minorEastAsia" w:eastAsiaTheme="minorEastAsia" w:cstheme="minorEastAsia"/>
          <w:color w:val="auto"/>
          <w:sz w:val="24"/>
          <w:szCs w:val="24"/>
        </w:rPr>
        <w:t>单位及有关人员存在不利于客观公正开展审计工作的关系，供应商应当主动向采购人提出回避。</w:t>
      </w:r>
    </w:p>
    <w:p>
      <w:pPr>
        <w:pStyle w:val="26"/>
        <w:keepNext w:val="0"/>
        <w:keepLines w:val="0"/>
        <w:pageBreakBefore w:val="0"/>
        <w:kinsoku/>
        <w:wordWrap/>
        <w:overflowPunct/>
        <w:topLinePunct w:val="0"/>
        <w:bidi w:val="0"/>
        <w:snapToGrid/>
        <w:spacing w:line="360" w:lineRule="auto"/>
        <w:ind w:left="0" w:firstLine="6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、其他要求</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本项目不允许成交供应商以任何名义和理由进行转包，如有发现，采购人有权单方终止合同，视为成交供应商违约，成交供应商违约对采购人造成的损失的，需另行支付相应的赔偿。</w:t>
      </w:r>
    </w:p>
    <w:p>
      <w:pPr>
        <w:keepNext w:val="0"/>
        <w:keepLines w:val="0"/>
        <w:pageBreakBefore w:val="0"/>
        <w:numPr>
          <w:ilvl w:val="0"/>
          <w:numId w:val="0"/>
        </w:numPr>
        <w:kinsoku/>
        <w:wordWrap/>
        <w:overflowPunct/>
        <w:topLinePunct w:val="0"/>
        <w:bidi w:val="0"/>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本采购文件未明确的其它约定事项或条款，待采购人与成交供应商签订合同时，由双方协商订立。</w:t>
      </w:r>
    </w:p>
    <w:p>
      <w:pPr>
        <w:keepNext w:val="0"/>
        <w:keepLines w:val="0"/>
        <w:pageBreakBefore w:val="0"/>
        <w:kinsoku/>
        <w:wordWrap/>
        <w:overflowPunct/>
        <w:topLinePunct w:val="0"/>
        <w:bidi w:val="0"/>
        <w:snapToGrid/>
        <w:spacing w:line="360" w:lineRule="auto"/>
        <w:ind w:left="0" w:firstLine="482" w:firstLineChars="200"/>
        <w:textAlignment w:val="auto"/>
        <w:rPr>
          <w:rFonts w:hint="eastAsia" w:asciiTheme="minorEastAsia" w:hAnsiTheme="minorEastAsia" w:eastAsiaTheme="minorEastAsia" w:cstheme="minorEastAsia"/>
          <w:b/>
          <w:bCs/>
          <w:color w:val="auto"/>
          <w:sz w:val="24"/>
          <w:szCs w:val="24"/>
        </w:rPr>
      </w:pPr>
      <w:bookmarkStart w:id="52" w:name="_Toc285393068"/>
      <w:bookmarkStart w:id="53" w:name="_Toc430269287"/>
      <w:bookmarkStart w:id="54" w:name="_Toc394319918"/>
      <w:bookmarkStart w:id="55" w:name="_Toc430269118"/>
      <w:bookmarkStart w:id="56" w:name="_Toc491700052"/>
      <w:bookmarkStart w:id="57" w:name="_Toc358109807"/>
      <w:bookmarkStart w:id="58" w:name="_Toc394319917"/>
      <w:bookmarkStart w:id="59" w:name="_Toc358109806"/>
      <w:bookmarkStart w:id="60" w:name="_Toc478753855"/>
      <w:bookmarkStart w:id="61" w:name="_Toc416379639"/>
      <w:bookmarkStart w:id="62" w:name="_Toc57451666"/>
      <w:bookmarkStart w:id="63" w:name="_Toc425276504"/>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、报价要求</w:t>
      </w:r>
    </w:p>
    <w:bookmarkEnd w:id="52"/>
    <w:bookmarkEnd w:id="53"/>
    <w:bookmarkEnd w:id="54"/>
    <w:bookmarkEnd w:id="55"/>
    <w:bookmarkEnd w:id="56"/>
    <w:bookmarkEnd w:id="57"/>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bookmarkStart w:id="64" w:name="_Toc491700053"/>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u w:val="none"/>
        </w:rPr>
        <w:t>本项目的预算为人民币</w:t>
      </w:r>
      <w:r>
        <w:rPr>
          <w:rFonts w:hint="eastAsia" w:asciiTheme="minorEastAsia" w:hAnsiTheme="minorEastAsia" w:cstheme="minorEastAsia"/>
          <w:b/>
          <w:bCs/>
          <w:color w:val="auto"/>
          <w:sz w:val="24"/>
          <w:szCs w:val="24"/>
          <w:u w:val="none"/>
          <w:lang w:val="en-US" w:eastAsia="zh-CN"/>
        </w:rPr>
        <w:t>6.6074</w:t>
      </w:r>
      <w:r>
        <w:rPr>
          <w:rFonts w:hint="eastAsia" w:asciiTheme="minorEastAsia" w:hAnsiTheme="minorEastAsia" w:eastAsiaTheme="minorEastAsia" w:cstheme="minorEastAsia"/>
          <w:color w:val="auto"/>
          <w:sz w:val="24"/>
          <w:szCs w:val="24"/>
          <w:u w:val="none"/>
        </w:rPr>
        <w:t>万元。</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2.总报价为完成采购项目所有可能发生的费用，包括根据人员投入安排和本次审计工作量、难度的大小，测算出的成本费用，审计服务费等直至审计结束出具审计报告所产生的一切费用</w:t>
      </w:r>
      <w:r>
        <w:rPr>
          <w:rFonts w:hint="eastAsia" w:asciiTheme="minorEastAsia" w:hAnsiTheme="minorEastAsia" w:eastAsiaTheme="minorEastAsia" w:cstheme="minorEastAsia"/>
          <w:color w:val="auto"/>
          <w:sz w:val="24"/>
          <w:szCs w:val="24"/>
          <w:lang w:eastAsia="zh-CN"/>
        </w:rPr>
        <w:t>，以及需要延伸审计产生的费用。</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响应文件中的报价在合同执行过程中是固定不变的，不得以任何理由予以变更。以可变动价格提交的报价将被认为是非实质响应而被拒绝。供应商报价中漏报、少报的费用，视为此项费用已隐含在响应报价中，成交后不得再向采购人收取任何费用。</w:t>
      </w:r>
    </w:p>
    <w:p>
      <w:pPr>
        <w:keepNext w:val="0"/>
        <w:keepLines w:val="0"/>
        <w:pageBreakBefore w:val="0"/>
        <w:kinsoku/>
        <w:wordWrap/>
        <w:overflowPunct/>
        <w:topLinePunct w:val="0"/>
        <w:bidi w:val="0"/>
        <w:snapToGrid/>
        <w:spacing w:line="360" w:lineRule="auto"/>
        <w:ind w:left="0" w:firstLine="482" w:firstLineChars="200"/>
        <w:textAlignment w:val="auto"/>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三、项目验收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1.验收标准</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r>
        <w:rPr>
          <w:rFonts w:hint="eastAsia" w:asciiTheme="minorEastAsia" w:hAnsiTheme="minorEastAsia" w:eastAsiaTheme="minorEastAsia" w:cstheme="minorEastAsia"/>
          <w:color w:val="auto"/>
          <w:sz w:val="24"/>
          <w:szCs w:val="24"/>
        </w:rPr>
        <w:t>国家、省、市有关的</w:t>
      </w:r>
      <w:r>
        <w:rPr>
          <w:rFonts w:hint="eastAsia" w:asciiTheme="minorEastAsia" w:hAnsiTheme="minorEastAsia" w:eastAsiaTheme="minorEastAsia" w:cstheme="minorEastAsia"/>
          <w:color w:val="auto"/>
          <w:sz w:val="24"/>
          <w:szCs w:val="24"/>
          <w:lang w:eastAsia="zh-CN"/>
        </w:rPr>
        <w:t>行业</w:t>
      </w:r>
      <w:r>
        <w:rPr>
          <w:rFonts w:hint="eastAsia" w:asciiTheme="minorEastAsia" w:hAnsiTheme="minorEastAsia" w:eastAsiaTheme="minorEastAsia" w:cstheme="minorEastAsia"/>
          <w:color w:val="auto"/>
          <w:sz w:val="24"/>
          <w:szCs w:val="24"/>
        </w:rPr>
        <w:t>标准进行验收</w:t>
      </w:r>
      <w:r>
        <w:rPr>
          <w:rFonts w:hint="eastAsia" w:asciiTheme="minorEastAsia" w:hAnsiTheme="minorEastAsia" w:eastAsiaTheme="minorEastAsia" w:cstheme="minorEastAsia"/>
          <w:color w:val="auto"/>
          <w:sz w:val="24"/>
          <w:szCs w:val="24"/>
          <w:lang w:val="en-US" w:eastAsia="zh-CN"/>
        </w:rPr>
        <w:t>，按招标文件、投标文件、合同等相关文件执行。验收结果应符合采购人使用要求。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2.验收程序</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Hans"/>
        </w:rPr>
        <w:t>采购人应在供应商完整出具审计报告后</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Hans"/>
        </w:rPr>
        <w:t>日（节假日顺延）内进行验收</w:t>
      </w:r>
      <w:r>
        <w:rPr>
          <w:rFonts w:hint="eastAsia" w:asciiTheme="minorEastAsia" w:hAnsiTheme="minorEastAsia" w:eastAsiaTheme="minorEastAsia" w:cstheme="minorEastAsia"/>
          <w:color w:val="auto"/>
          <w:sz w:val="24"/>
          <w:szCs w:val="24"/>
          <w:lang w:val="en-US" w:eastAsia="zh-CN"/>
        </w:rPr>
        <w:t>，审计成果包括审计报告、审计工作底稿等，材料包括纸质版、电子版（含 WORD 版、PDF 版），报送的资料要求签章齐全、装订成册，索引号、页码标示规范、清晰。</w:t>
      </w:r>
    </w:p>
    <w:p>
      <w:pPr>
        <w:keepNext w:val="0"/>
        <w:keepLines w:val="0"/>
        <w:pageBreakBefore w:val="0"/>
        <w:kinsoku/>
        <w:wordWrap/>
        <w:overflowPunct/>
        <w:topLinePunct w:val="0"/>
        <w:bidi w:val="0"/>
        <w:snapToGrid/>
        <w:spacing w:line="360" w:lineRule="auto"/>
        <w:ind w:left="0" w:firstLine="482" w:firstLineChars="200"/>
        <w:textAlignment w:val="auto"/>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四、交货地点及服务期</w:t>
      </w:r>
    </w:p>
    <w:p>
      <w:pPr>
        <w:pStyle w:val="22"/>
        <w:keepNext w:val="0"/>
        <w:keepLines w:val="0"/>
        <w:pageBreakBefore w:val="0"/>
        <w:kinsoku/>
        <w:wordWrap/>
        <w:overflowPunct/>
        <w:topLinePunct w:val="0"/>
        <w:bidi w:val="0"/>
        <w:snapToGrid/>
        <w:spacing w:line="360" w:lineRule="auto"/>
        <w:ind w:left="0" w:firstLine="48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1.服务地点：</w:t>
      </w:r>
      <w:r>
        <w:rPr>
          <w:rFonts w:hint="eastAsia" w:asciiTheme="minorEastAsia" w:hAnsiTheme="minorEastAsia" w:eastAsiaTheme="minorEastAsia" w:cstheme="minorEastAsia"/>
          <w:color w:val="auto"/>
          <w:kern w:val="2"/>
          <w:sz w:val="24"/>
          <w:szCs w:val="24"/>
          <w:lang w:val="en-US" w:eastAsia="zh-Hans" w:bidi="ar-SA"/>
        </w:rPr>
        <w:t>采购人指定地点。</w:t>
      </w:r>
    </w:p>
    <w:p>
      <w:pPr>
        <w:pStyle w:val="22"/>
        <w:keepNext w:val="0"/>
        <w:keepLines w:val="0"/>
        <w:pageBreakBefore w:val="0"/>
        <w:kinsoku/>
        <w:wordWrap/>
        <w:overflowPunct/>
        <w:topLinePunct w:val="0"/>
        <w:bidi w:val="0"/>
        <w:snapToGrid/>
        <w:spacing w:line="360" w:lineRule="auto"/>
        <w:ind w:left="0" w:firstLine="48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2.服务期：</w:t>
      </w:r>
      <w:r>
        <w:rPr>
          <w:rFonts w:hint="eastAsia" w:asciiTheme="minorEastAsia" w:hAnsiTheme="minorEastAsia" w:eastAsiaTheme="minorEastAsia" w:cstheme="minorEastAsia"/>
          <w:color w:val="auto"/>
          <w:kern w:val="2"/>
          <w:sz w:val="24"/>
          <w:szCs w:val="24"/>
          <w:lang w:val="en-US" w:eastAsia="zh-Hans" w:bidi="ar-SA"/>
        </w:rPr>
        <w:t>自合同签订之日起</w:t>
      </w:r>
      <w:r>
        <w:rPr>
          <w:rFonts w:hint="eastAsia" w:asciiTheme="minorEastAsia" w:hAnsiTheme="minorEastAsia" w:eastAsiaTheme="minorEastAsia" w:cstheme="minorEastAsia"/>
          <w:color w:val="auto"/>
          <w:kern w:val="2"/>
          <w:sz w:val="24"/>
          <w:szCs w:val="24"/>
          <w:lang w:val="en-US" w:eastAsia="zh-CN" w:bidi="ar-SA"/>
        </w:rPr>
        <w:t>45</w:t>
      </w:r>
      <w:r>
        <w:rPr>
          <w:rFonts w:hint="eastAsia" w:asciiTheme="minorEastAsia" w:hAnsiTheme="minorEastAsia" w:eastAsiaTheme="minorEastAsia" w:cstheme="minorEastAsia"/>
          <w:color w:val="auto"/>
          <w:kern w:val="2"/>
          <w:sz w:val="24"/>
          <w:szCs w:val="24"/>
          <w:lang w:val="en-US" w:eastAsia="zh-Hans" w:bidi="ar-SA"/>
        </w:rPr>
        <w:t>日完成审计服务</w:t>
      </w:r>
      <w:r>
        <w:rPr>
          <w:rFonts w:hint="eastAsia" w:asciiTheme="minorEastAsia" w:hAnsiTheme="minorEastAsia" w:eastAsiaTheme="minorEastAsia" w:cstheme="minorEastAsia"/>
          <w:color w:val="auto"/>
          <w:kern w:val="2"/>
          <w:sz w:val="24"/>
          <w:szCs w:val="24"/>
          <w:lang w:val="en-US" w:eastAsia="zh-CN" w:bidi="ar-SA"/>
        </w:rPr>
        <w:t>并出具审计成果报告。</w:t>
      </w:r>
    </w:p>
    <w:p>
      <w:pPr>
        <w:keepNext w:val="0"/>
        <w:keepLines w:val="0"/>
        <w:pageBreakBefore w:val="0"/>
        <w:widowControl/>
        <w:kinsoku/>
        <w:wordWrap/>
        <w:overflowPunct/>
        <w:topLinePunct w:val="0"/>
        <w:bidi w:val="0"/>
        <w:snapToGrid/>
        <w:spacing w:line="360" w:lineRule="auto"/>
        <w:ind w:left="0"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3.如果出现不可预见的情况，影响审计工作的如期完成，或需要提前出具审计报告，双方均可要求变更约定事项，但应及时通知对方，并由双方协商解决。</w:t>
      </w:r>
    </w:p>
    <w:p>
      <w:pPr>
        <w:keepNext w:val="0"/>
        <w:keepLines w:val="0"/>
        <w:pageBreakBefore w:val="0"/>
        <w:kinsoku/>
        <w:wordWrap/>
        <w:overflowPunct/>
        <w:topLinePunct w:val="0"/>
        <w:bidi w:val="0"/>
        <w:snapToGrid/>
        <w:spacing w:line="360" w:lineRule="auto"/>
        <w:ind w:left="0" w:firstLine="482"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五</w:t>
      </w:r>
      <w:r>
        <w:rPr>
          <w:rFonts w:hint="eastAsia" w:asciiTheme="minorEastAsia" w:hAnsiTheme="minorEastAsia" w:eastAsiaTheme="minorEastAsia" w:cstheme="minorEastAsia"/>
          <w:b/>
          <w:color w:val="auto"/>
          <w:kern w:val="0"/>
          <w:sz w:val="24"/>
          <w:szCs w:val="24"/>
        </w:rPr>
        <w:t>、付款方式</w:t>
      </w:r>
    </w:p>
    <w:bookmarkEnd w:id="58"/>
    <w:bookmarkEnd w:id="59"/>
    <w:bookmarkEnd w:id="60"/>
    <w:bookmarkEnd w:id="61"/>
    <w:bookmarkEnd w:id="62"/>
    <w:bookmarkEnd w:id="63"/>
    <w:bookmarkEnd w:id="64"/>
    <w:p>
      <w:pPr>
        <w:keepNext w:val="0"/>
        <w:keepLines w:val="0"/>
        <w:pageBreakBefore w:val="0"/>
        <w:kinsoku/>
        <w:wordWrap/>
        <w:overflowPunct/>
        <w:topLinePunct w:val="0"/>
        <w:bidi w:val="0"/>
        <w:snapToGrid/>
        <w:spacing w:line="360" w:lineRule="auto"/>
        <w:ind w:left="0" w:firstLine="480" w:firstLineChars="200"/>
        <w:textAlignment w:val="auto"/>
        <w:rPr>
          <w:rFonts w:hint="eastAsia" w:asciiTheme="minorEastAsia" w:hAnsiTheme="minorEastAsia" w:eastAsiaTheme="minorEastAsia" w:cstheme="minorEastAsia"/>
          <w:b/>
          <w:color w:val="auto"/>
          <w:kern w:val="0"/>
          <w:sz w:val="24"/>
          <w:szCs w:val="24"/>
          <w:highlight w:val="none"/>
          <w:lang w:val="en-US" w:eastAsia="zh-CN"/>
        </w:rPr>
      </w:pPr>
      <w:r>
        <w:rPr>
          <w:rFonts w:hint="eastAsia" w:ascii="宋体" w:hAnsi="宋体" w:cs="宋体"/>
          <w:kern w:val="0"/>
          <w:sz w:val="24"/>
        </w:rPr>
        <w:t>审计服务协议合同期内完成审计项目，若未出现违约情况，</w:t>
      </w:r>
      <w:r>
        <w:rPr>
          <w:rFonts w:hint="eastAsia" w:ascii="宋体" w:hAnsi="宋体" w:cs="宋体"/>
          <w:kern w:val="0"/>
          <w:sz w:val="24"/>
          <w:lang w:eastAsia="zh-CN"/>
        </w:rPr>
        <w:t>成交供应商</w:t>
      </w:r>
      <w:r>
        <w:rPr>
          <w:rFonts w:hint="eastAsia" w:ascii="宋体" w:hAnsi="宋体" w:cs="宋体"/>
          <w:kern w:val="0"/>
          <w:sz w:val="24"/>
        </w:rPr>
        <w:t>出具正式审计报告</w:t>
      </w:r>
      <w:r>
        <w:rPr>
          <w:rFonts w:hint="eastAsia" w:ascii="宋体" w:hAnsi="宋体" w:cs="宋体"/>
          <w:kern w:val="0"/>
          <w:sz w:val="24"/>
          <w:lang w:eastAsia="zh-CN"/>
        </w:rPr>
        <w:t>，</w:t>
      </w:r>
      <w:r>
        <w:rPr>
          <w:rFonts w:hint="eastAsia" w:ascii="宋体" w:hAnsi="宋体" w:cs="宋体"/>
          <w:kern w:val="0"/>
          <w:sz w:val="24"/>
        </w:rPr>
        <w:t>并</w:t>
      </w:r>
      <w:r>
        <w:rPr>
          <w:rFonts w:hint="eastAsia" w:ascii="宋体" w:hAnsi="宋体" w:cs="宋体"/>
          <w:kern w:val="0"/>
          <w:sz w:val="24"/>
          <w:lang w:val="en-US" w:eastAsia="zh-CN"/>
        </w:rPr>
        <w:t>待泉州市财政评审中心再审核后</w:t>
      </w:r>
      <w:r>
        <w:rPr>
          <w:rFonts w:hint="eastAsia" w:ascii="宋体" w:hAnsi="宋体" w:cs="宋体"/>
          <w:kern w:val="0"/>
          <w:sz w:val="24"/>
        </w:rPr>
        <w:t>，</w:t>
      </w:r>
      <w:r>
        <w:rPr>
          <w:rFonts w:hint="eastAsia" w:ascii="宋体" w:hAnsi="宋体" w:cs="宋体"/>
          <w:kern w:val="0"/>
          <w:sz w:val="24"/>
          <w:lang w:val="en-US" w:eastAsia="zh-CN"/>
        </w:rPr>
        <w:t>正常情况下</w:t>
      </w:r>
      <w:r>
        <w:rPr>
          <w:rFonts w:hint="eastAsia" w:ascii="宋体" w:hAnsi="宋体" w:cs="宋体"/>
          <w:kern w:val="0"/>
          <w:sz w:val="24"/>
        </w:rPr>
        <w:t>30日内由采购</w:t>
      </w:r>
      <w:r>
        <w:rPr>
          <w:rFonts w:hint="eastAsia" w:ascii="宋体" w:hAnsi="宋体" w:cs="宋体"/>
          <w:kern w:val="0"/>
          <w:sz w:val="24"/>
          <w:lang w:eastAsia="zh-CN"/>
        </w:rPr>
        <w:t>人</w:t>
      </w:r>
      <w:r>
        <w:rPr>
          <w:rFonts w:hint="eastAsia" w:ascii="宋体" w:hAnsi="宋体" w:cs="宋体"/>
          <w:kern w:val="0"/>
          <w:sz w:val="24"/>
        </w:rPr>
        <w:t>支付</w:t>
      </w:r>
      <w:r>
        <w:rPr>
          <w:rFonts w:hint="eastAsia" w:ascii="宋体" w:hAnsi="宋体"/>
          <w:bCs/>
          <w:color w:val="auto"/>
          <w:sz w:val="24"/>
          <w:highlight w:val="none"/>
          <w:lang w:val="en-US" w:eastAsia="zh-CN"/>
        </w:rPr>
        <w:t>中标审核费</w:t>
      </w:r>
      <w:r>
        <w:rPr>
          <w:rFonts w:hint="eastAsia" w:asciiTheme="minorEastAsia" w:hAnsiTheme="minorEastAsia" w:eastAsiaTheme="minorEastAsia" w:cstheme="minorEastAsia"/>
          <w:color w:val="auto"/>
          <w:sz w:val="24"/>
          <w:szCs w:val="24"/>
        </w:rPr>
        <w:t>的100%</w:t>
      </w:r>
      <w:r>
        <w:rPr>
          <w:rFonts w:hint="eastAsia" w:asciiTheme="minorEastAsia" w:hAnsiTheme="minorEastAsia" w:eastAsiaTheme="minorEastAsia" w:cstheme="minorEastAsia"/>
          <w:color w:val="auto"/>
          <w:sz w:val="24"/>
          <w:szCs w:val="24"/>
          <w:lang w:eastAsia="zh-CN"/>
        </w:rPr>
        <w:t>。</w:t>
      </w:r>
      <w:r>
        <w:rPr>
          <w:rFonts w:hint="eastAsia" w:ascii="宋体" w:hAnsi="宋体"/>
          <w:bCs/>
          <w:color w:val="auto"/>
          <w:sz w:val="24"/>
          <w:highlight w:val="none"/>
          <w:lang w:val="en-US" w:eastAsia="zh-CN"/>
        </w:rPr>
        <w:t>经泉州市财政评审中心再次审核环节，在施工单位在此环节不得再补充任何影响评审结果资料的前体下，若其审核报告经泉州市财政评审中心再次审核后，审减率在3%（含3%）以内的，按中标审核费100%支付；审减率在3%—5%（含5%）之间的，按中标审核费50%支付；审减率超过5%的，不支付审核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snapToGrid/>
        <w:spacing w:line="360" w:lineRule="auto"/>
        <w:ind w:lef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六</w:t>
      </w:r>
      <w:r>
        <w:rPr>
          <w:rFonts w:hint="eastAsia" w:asciiTheme="minorEastAsia" w:hAnsiTheme="minorEastAsia" w:eastAsiaTheme="minorEastAsia" w:cstheme="minorEastAsia"/>
          <w:b/>
          <w:color w:val="auto"/>
          <w:sz w:val="24"/>
          <w:szCs w:val="24"/>
        </w:rPr>
        <w:t>、违约责任</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.因成交供应商原因造成采购合同无法按时签订，</w:t>
      </w:r>
      <w:r>
        <w:rPr>
          <w:rFonts w:hint="eastAsia" w:asciiTheme="minorEastAsia" w:hAnsiTheme="minorEastAsia" w:cstheme="minorEastAsia"/>
          <w:color w:val="auto"/>
          <w:sz w:val="24"/>
          <w:szCs w:val="24"/>
          <w:lang w:eastAsia="zh-CN"/>
        </w:rPr>
        <w:t>视为自动放弃中标资格。</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2.在签定采购合同之后，未经采购人同意单方面终止合同的，</w:t>
      </w:r>
      <w:r>
        <w:rPr>
          <w:rFonts w:hint="eastAsia" w:asciiTheme="minorEastAsia" w:hAnsiTheme="minorEastAsia" w:cstheme="minorEastAsia"/>
          <w:color w:val="auto"/>
          <w:sz w:val="24"/>
          <w:szCs w:val="24"/>
          <w:lang w:eastAsia="zh-CN"/>
        </w:rPr>
        <w:t>视为成交供应商违约，</w:t>
      </w:r>
      <w:r>
        <w:rPr>
          <w:rFonts w:hint="eastAsia" w:asciiTheme="minorEastAsia" w:hAnsiTheme="minorEastAsia" w:eastAsiaTheme="minorEastAsia" w:cstheme="minorEastAsia"/>
          <w:color w:val="auto"/>
          <w:sz w:val="24"/>
          <w:szCs w:val="24"/>
        </w:rPr>
        <w:t>成交供应商应向采购人偿付该合同款30%的违约金。</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因</w:t>
      </w:r>
      <w:r>
        <w:rPr>
          <w:rFonts w:hint="eastAsia" w:asciiTheme="minorEastAsia" w:hAnsi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供应商原因造成审计任务出现重大失误、无故拖延拒绝接受审计任务等情况的，视为</w:t>
      </w:r>
      <w:r>
        <w:rPr>
          <w:rFonts w:hint="eastAsia" w:asciiTheme="minorEastAsia" w:hAnsi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供应商违约，</w:t>
      </w:r>
      <w:r>
        <w:rPr>
          <w:rFonts w:hint="eastAsia" w:asciiTheme="minorEastAsia" w:hAnsi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应向采购人偿付该合同款30%的违约金</w:t>
      </w:r>
      <w:r>
        <w:rPr>
          <w:rFonts w:hint="eastAsia" w:asciiTheme="minorEastAsia" w:hAnsiTheme="minorEastAsia" w:cstheme="minorEastAsia"/>
          <w:color w:val="auto"/>
          <w:sz w:val="24"/>
          <w:szCs w:val="24"/>
          <w:lang w:eastAsia="zh-CN"/>
        </w:rPr>
        <w:t>，违约金从合同款中抵扣</w:t>
      </w:r>
      <w:r>
        <w:rPr>
          <w:rFonts w:hint="eastAsia" w:asciiTheme="minorEastAsia" w:hAnsiTheme="minorEastAsia" w:eastAsiaTheme="minorEastAsia" w:cstheme="minorEastAsia"/>
          <w:color w:val="auto"/>
          <w:sz w:val="24"/>
          <w:szCs w:val="24"/>
        </w:rPr>
        <w:t>。</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成交供应商不能按时交付</w:t>
      </w:r>
      <w:r>
        <w:rPr>
          <w:rFonts w:hint="eastAsia" w:asciiTheme="minorEastAsia" w:hAnsiTheme="minorEastAsia" w:eastAsiaTheme="minorEastAsia" w:cstheme="minorEastAsia"/>
          <w:color w:val="auto"/>
          <w:sz w:val="24"/>
          <w:szCs w:val="24"/>
          <w:lang w:eastAsia="zh-CN"/>
        </w:rPr>
        <w:t>审计成果</w:t>
      </w:r>
      <w:r>
        <w:rPr>
          <w:rFonts w:hint="eastAsia" w:asciiTheme="minorEastAsia" w:hAnsiTheme="minorEastAsia" w:eastAsiaTheme="minorEastAsia" w:cstheme="minorEastAsia"/>
          <w:color w:val="auto"/>
          <w:sz w:val="24"/>
          <w:szCs w:val="24"/>
        </w:rPr>
        <w:t>的，每逾期1日，应按该合同款总额3‰标准向采购人支付日违约金，逾期超过15日的，采购人有权单方解除本合同，</w:t>
      </w:r>
      <w:r>
        <w:rPr>
          <w:rFonts w:hint="eastAsia" w:asciiTheme="minorEastAsia" w:hAnsiTheme="minorEastAsia" w:cstheme="minorEastAsia"/>
          <w:color w:val="auto"/>
          <w:sz w:val="24"/>
          <w:szCs w:val="24"/>
          <w:lang w:eastAsia="zh-CN"/>
        </w:rPr>
        <w:t>不予支付合同款</w:t>
      </w:r>
      <w:r>
        <w:rPr>
          <w:rFonts w:hint="eastAsia" w:asciiTheme="minorEastAsia" w:hAnsiTheme="minorEastAsia" w:eastAsiaTheme="minorEastAsia" w:cstheme="minorEastAsia"/>
          <w:color w:val="auto"/>
          <w:sz w:val="24"/>
          <w:szCs w:val="24"/>
        </w:rPr>
        <w:t>。</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成交供应商在</w:t>
      </w:r>
      <w:r>
        <w:rPr>
          <w:rFonts w:hint="eastAsia" w:asciiTheme="minorEastAsia" w:hAnsiTheme="minorEastAsia" w:eastAsiaTheme="minorEastAsia" w:cstheme="minorEastAsia"/>
          <w:color w:val="auto"/>
          <w:sz w:val="24"/>
          <w:szCs w:val="24"/>
          <w:lang w:eastAsia="zh-CN"/>
        </w:rPr>
        <w:t>提供审计服务</w:t>
      </w:r>
      <w:r>
        <w:rPr>
          <w:rFonts w:hint="eastAsia" w:asciiTheme="minorEastAsia" w:hAnsiTheme="minorEastAsia" w:eastAsiaTheme="minorEastAsia" w:cstheme="minorEastAsia"/>
          <w:color w:val="auto"/>
          <w:sz w:val="24"/>
          <w:szCs w:val="24"/>
        </w:rPr>
        <w:t>各种环节中产生的一切意外事故，包括不可抗拒力因素造成的事故</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由成交供应商负责。</w:t>
      </w:r>
    </w:p>
    <w:p>
      <w:pPr>
        <w:pStyle w:val="26"/>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因采购人原因导致成交供应商未能按合同约定履行的，成交供应商可免于承担违约责任。</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olor w:val="auto"/>
          <w:sz w:val="24"/>
          <w:szCs w:val="24"/>
          <w:highlight w:val="none"/>
          <w:lang w:eastAsia="zh-CN"/>
        </w:rPr>
      </w:pPr>
    </w:p>
    <w:bookmarkEnd w:id="50"/>
    <w:bookmarkEnd w:id="51"/>
    <w:p>
      <w:pPr>
        <w:pStyle w:val="2"/>
        <w:spacing w:before="120" w:after="120" w:line="400" w:lineRule="exact"/>
        <w:jc w:val="center"/>
        <w:rPr>
          <w:rFonts w:hint="eastAsia" w:ascii="宋体" w:hAnsi="宋体" w:eastAsia="宋体"/>
          <w:color w:val="auto"/>
          <w:szCs w:val="32"/>
          <w:highlight w:val="none"/>
        </w:rPr>
      </w:pPr>
      <w:bookmarkStart w:id="65" w:name="_Toc1683"/>
      <w:r>
        <w:rPr>
          <w:rFonts w:hint="eastAsia" w:ascii="宋体" w:hAnsi="宋体" w:eastAsia="宋体"/>
          <w:color w:val="auto"/>
          <w:szCs w:val="32"/>
          <w:highlight w:val="none"/>
        </w:rPr>
        <w:br w:type="page"/>
      </w:r>
      <w:bookmarkStart w:id="66" w:name="_Toc25197"/>
      <w:bookmarkStart w:id="67"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5"/>
      <w:bookmarkEnd w:id="66"/>
      <w:bookmarkEnd w:id="67"/>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723" w:firstLineChars="200"/>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val="0"/>
          <w:bCs/>
          <w:color w:val="auto"/>
          <w:sz w:val="24"/>
          <w:szCs w:val="24"/>
          <w:highlight w:val="none"/>
          <w:u w:val="single"/>
          <w:lang w:val="en-US" w:eastAsia="zh-CN"/>
        </w:rPr>
        <w:t>QZTCSJC2024001号</w:t>
      </w:r>
      <w:r>
        <w:rPr>
          <w:rFonts w:hint="eastAsia" w:ascii="宋体" w:hAnsi="宋体"/>
          <w:b/>
          <w:color w:val="auto"/>
          <w:sz w:val="36"/>
          <w:highlight w:val="none"/>
          <w:u w:val="single"/>
        </w:rPr>
        <w:t xml:space="preserve">              </w:t>
      </w:r>
    </w:p>
    <w:p>
      <w:pPr>
        <w:spacing w:line="360" w:lineRule="auto"/>
        <w:ind w:firstLine="723" w:firstLineChars="200"/>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val="0"/>
          <w:bCs/>
          <w:color w:val="auto"/>
          <w:sz w:val="24"/>
          <w:szCs w:val="24"/>
          <w:highlight w:val="none"/>
          <w:u w:val="single"/>
          <w:lang w:val="en-US" w:eastAsia="zh-CN"/>
        </w:rPr>
        <w:t xml:space="preserve">泉州师范学院第二田径场项目委托审计服务项目 </w:t>
      </w:r>
    </w:p>
    <w:p>
      <w:pPr>
        <w:spacing w:line="360" w:lineRule="auto"/>
        <w:outlineLvl w:val="9"/>
        <w:rPr>
          <w:rFonts w:hint="eastAsia" w:ascii="宋体" w:hAnsi="宋体"/>
          <w:color w:val="auto"/>
          <w:sz w:val="28"/>
          <w:szCs w:val="28"/>
          <w:highlight w:val="none"/>
        </w:rPr>
      </w:pPr>
    </w:p>
    <w:p>
      <w:pPr>
        <w:pStyle w:val="13"/>
        <w:rPr>
          <w:rFonts w:hint="eastAsia"/>
          <w:color w:val="auto"/>
          <w:highlight w:val="none"/>
        </w:rPr>
      </w:pPr>
    </w:p>
    <w:p>
      <w:pPr>
        <w:spacing w:line="360" w:lineRule="auto"/>
        <w:rPr>
          <w:rFonts w:hint="eastAsia" w:ascii="宋体" w:hAnsi="宋体"/>
          <w:b/>
          <w:color w:val="auto"/>
          <w:sz w:val="36"/>
          <w:highlight w:val="none"/>
        </w:rPr>
      </w:pPr>
    </w:p>
    <w:p>
      <w:pPr>
        <w:pStyle w:val="13"/>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3"/>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68" w:name="_Toc14215"/>
      <w:bookmarkStart w:id="69" w:name="_Toc12112"/>
      <w:bookmarkStart w:id="70" w:name="_Toc29646"/>
      <w:bookmarkStart w:id="71" w:name="_Toc1376"/>
      <w:bookmarkStart w:id="72" w:name="_Toc372013039"/>
      <w:bookmarkStart w:id="73" w:name="_Toc502907889"/>
      <w:bookmarkStart w:id="74" w:name="_Toc393727156"/>
      <w:bookmarkStart w:id="75" w:name="_Toc432513145"/>
      <w:bookmarkStart w:id="76" w:name="_Toc1606"/>
      <w:bookmarkStart w:id="77" w:name="_Toc373141305"/>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68"/>
      <w:bookmarkEnd w:id="69"/>
      <w:bookmarkEnd w:id="70"/>
      <w:bookmarkEnd w:id="71"/>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泉州师范学院审计处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5"/>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2"/>
        <w:rPr>
          <w:rFonts w:hint="eastAsia"/>
          <w:color w:val="auto"/>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2"/>
      <w:bookmarkEnd w:id="73"/>
      <w:bookmarkEnd w:id="74"/>
      <w:bookmarkEnd w:id="75"/>
      <w:bookmarkEnd w:id="76"/>
      <w:bookmarkEnd w:id="77"/>
      <w:bookmarkStart w:id="78" w:name="_Toc13976"/>
      <w:bookmarkStart w:id="79" w:name="_Toc20566"/>
      <w:bookmarkStart w:id="80" w:name="_Toc26916"/>
      <w:bookmarkStart w:id="81" w:name="_Toc4358"/>
      <w:r>
        <w:rPr>
          <w:rFonts w:hint="eastAsia" w:ascii="宋体" w:hAnsi="宋体" w:eastAsia="宋体" w:cs="宋体"/>
          <w:b/>
          <w:color w:val="auto"/>
          <w:sz w:val="28"/>
          <w:szCs w:val="28"/>
          <w:highlight w:val="none"/>
        </w:rPr>
        <w:t>格式2                       报价一览表</w:t>
      </w:r>
      <w:bookmarkEnd w:id="78"/>
      <w:bookmarkEnd w:id="79"/>
      <w:bookmarkEnd w:id="80"/>
      <w:bookmarkEnd w:id="81"/>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b w:val="0"/>
          <w:bCs/>
          <w:color w:val="auto"/>
          <w:sz w:val="24"/>
          <w:szCs w:val="24"/>
          <w:highlight w:val="none"/>
          <w:u w:val="single"/>
          <w:lang w:val="en-US" w:eastAsia="zh-CN"/>
        </w:rPr>
        <w:t>QZTCSJC2024001号</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8"/>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2" w:name="_Toc477899480"/>
    </w:p>
    <w:p>
      <w:pPr>
        <w:spacing w:line="400" w:lineRule="exact"/>
        <w:outlineLvl w:val="0"/>
        <w:rPr>
          <w:rFonts w:hint="eastAsia" w:ascii="宋体" w:hAnsi="宋体"/>
          <w:b/>
          <w:color w:val="auto"/>
          <w:sz w:val="24"/>
          <w:highlight w:val="none"/>
        </w:rPr>
      </w:pPr>
      <w:bookmarkStart w:id="83" w:name="_Toc7138"/>
      <w:bookmarkStart w:id="84"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2"/>
      <w:bookmarkEnd w:id="83"/>
      <w:bookmarkEnd w:id="84"/>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b w:val="0"/>
          <w:bCs/>
          <w:color w:val="auto"/>
          <w:sz w:val="24"/>
          <w:szCs w:val="24"/>
          <w:highlight w:val="none"/>
          <w:u w:val="single"/>
          <w:lang w:val="en-US" w:eastAsia="zh-CN"/>
        </w:rPr>
        <w:t>QZTCSJC2024001号</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5" w:name="_Toc102"/>
      <w:bookmarkStart w:id="86" w:name="_Toc24037"/>
      <w:bookmarkStart w:id="87" w:name="_Toc24019"/>
      <w:bookmarkStart w:id="88" w:name="_Toc29026"/>
      <w:bookmarkStart w:id="89" w:name="_Toc372013046"/>
      <w:bookmarkStart w:id="90" w:name="_Toc373141312"/>
      <w:bookmarkStart w:id="91" w:name="_Toc432513149"/>
      <w:bookmarkStart w:id="92" w:name="_Toc145132116"/>
      <w:bookmarkStart w:id="93" w:name="_Toc393727163"/>
      <w:bookmarkStart w:id="94" w:name="_Toc502907895"/>
      <w:bookmarkStart w:id="95" w:name="_Toc23010"/>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5"/>
      <w:bookmarkEnd w:id="86"/>
      <w:bookmarkEnd w:id="87"/>
      <w:bookmarkEnd w:id="88"/>
    </w:p>
    <w:p>
      <w:pPr>
        <w:spacing w:line="440" w:lineRule="exact"/>
        <w:ind w:firstLine="2940" w:firstLineChars="1046"/>
        <w:jc w:val="left"/>
        <w:rPr>
          <w:rFonts w:hint="eastAsia" w:ascii="宋体" w:hAnsi="宋体" w:eastAsia="宋体" w:cs="宋体"/>
          <w:b/>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泉州师范学院审计处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pStyle w:val="15"/>
        <w:spacing w:after="0" w:line="360" w:lineRule="auto"/>
        <w:rPr>
          <w:rFonts w:hint="eastAsia" w:ascii="宋体" w:hAnsi="宋体" w:cs="宋体"/>
          <w:b/>
          <w:bCs/>
          <w:color w:val="auto"/>
          <w:sz w:val="24"/>
          <w:highlight w:val="none"/>
          <w:u w:val="none"/>
          <w:lang w:val="en-US" w:eastAsia="zh-CN"/>
        </w:rPr>
      </w:pPr>
      <w:r>
        <w:rPr>
          <w:rFonts w:hint="eastAsia" w:ascii="宋体" w:hAnsi="宋体"/>
          <w:color w:val="auto"/>
          <w:sz w:val="24"/>
          <w:highlight w:val="none"/>
          <w:lang w:val="en-US" w:eastAsia="zh-CN"/>
        </w:rPr>
        <w:t>5）供应商应为泉州市住房和城乡建设局公布的2023年建设工程造价咨询优良企业，只允许总所或分所其中一家参与报价</w:t>
      </w:r>
      <w:r>
        <w:rPr>
          <w:rFonts w:hint="eastAsia" w:ascii="宋体" w:hAnsi="宋体" w:cs="宋体"/>
          <w:b/>
          <w:bCs/>
          <w:color w:val="auto"/>
          <w:sz w:val="24"/>
          <w:highlight w:val="none"/>
          <w:u w:val="none"/>
        </w:rPr>
        <w:t>（须提供</w:t>
      </w:r>
      <w:r>
        <w:rPr>
          <w:rFonts w:hint="eastAsia" w:ascii="宋体" w:hAnsi="宋体"/>
          <w:b/>
          <w:bCs/>
          <w:color w:val="auto"/>
          <w:sz w:val="24"/>
          <w:highlight w:val="none"/>
          <w:lang w:val="en-US" w:eastAsia="zh-CN"/>
        </w:rPr>
        <w:t>泉州市住房和城乡建设局相关红头文件</w:t>
      </w:r>
      <w:r>
        <w:rPr>
          <w:rFonts w:hint="eastAsia" w:ascii="宋体" w:hAnsi="宋体" w:cs="宋体"/>
          <w:b/>
          <w:bCs/>
          <w:color w:val="auto"/>
          <w:sz w:val="24"/>
          <w:highlight w:val="none"/>
          <w:u w:val="none"/>
        </w:rPr>
        <w:t>）</w:t>
      </w:r>
      <w:r>
        <w:rPr>
          <w:rFonts w:hint="eastAsia" w:ascii="宋体" w:hAnsi="宋体" w:cs="宋体"/>
          <w:b/>
          <w:bCs/>
          <w:color w:val="auto"/>
          <w:sz w:val="24"/>
          <w:highlight w:val="none"/>
          <w:u w:val="none"/>
          <w:lang w:val="en-US" w:eastAsia="zh-CN"/>
        </w:rPr>
        <w:t>；</w:t>
      </w:r>
    </w:p>
    <w:p>
      <w:pPr>
        <w:pStyle w:val="15"/>
        <w:spacing w:after="0" w:line="360" w:lineRule="auto"/>
        <w:rPr>
          <w:rFonts w:hint="eastAsia" w:ascii="宋体" w:hAnsi="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6）供应商应为福建省造价咨询企业信用评价系统2023年度全省信用分85分及以上的企业</w:t>
      </w:r>
      <w:r>
        <w:rPr>
          <w:rFonts w:hint="eastAsia" w:ascii="宋体" w:hAnsi="宋体" w:cs="宋体"/>
          <w:b/>
          <w:bCs/>
          <w:color w:val="auto"/>
          <w:sz w:val="24"/>
          <w:highlight w:val="none"/>
          <w:u w:val="none"/>
          <w:lang w:val="en-US" w:eastAsia="zh-CN"/>
        </w:rPr>
        <w:t>（福建省造价咨询企业信用评价系统网站截图）；</w:t>
      </w:r>
    </w:p>
    <w:p>
      <w:pPr>
        <w:pStyle w:val="15"/>
        <w:spacing w:after="0"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7）供应商应为2023年度中泉州市造价咨询成果文件（房建项目）检查成绩70分及以上企业</w:t>
      </w:r>
      <w:r>
        <w:rPr>
          <w:rFonts w:hint="eastAsia" w:ascii="宋体" w:hAnsi="宋体" w:cs="宋体"/>
          <w:b/>
          <w:bCs/>
          <w:color w:val="auto"/>
          <w:sz w:val="24"/>
          <w:highlight w:val="none"/>
          <w:u w:val="none"/>
        </w:rPr>
        <w:t>（须提供</w:t>
      </w:r>
      <w:r>
        <w:rPr>
          <w:rFonts w:hint="eastAsia" w:ascii="宋体" w:hAnsi="宋体"/>
          <w:b/>
          <w:bCs/>
          <w:color w:val="auto"/>
          <w:sz w:val="24"/>
          <w:highlight w:val="none"/>
          <w:lang w:val="en-US" w:eastAsia="zh-CN"/>
        </w:rPr>
        <w:t>泉州市住房和城乡建设局相关红头文件</w:t>
      </w:r>
      <w:r>
        <w:rPr>
          <w:rFonts w:hint="eastAsia" w:ascii="宋体" w:hAnsi="宋体" w:cs="宋体"/>
          <w:b/>
          <w:bCs/>
          <w:color w:val="auto"/>
          <w:sz w:val="24"/>
          <w:highlight w:val="none"/>
          <w:u w:val="none"/>
        </w:rPr>
        <w:t>）</w:t>
      </w:r>
      <w:r>
        <w:rPr>
          <w:rFonts w:hint="eastAsia" w:ascii="宋体" w:hAnsi="宋体" w:cs="宋体"/>
          <w:b/>
          <w:bCs/>
          <w:color w:val="auto"/>
          <w:sz w:val="24"/>
          <w:highlight w:val="none"/>
          <w:u w:val="none"/>
          <w:lang w:val="en-US" w:eastAsia="zh-CN"/>
        </w:rPr>
        <w:t>；</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项目负责人应具有注册</w:t>
      </w:r>
      <w:r>
        <w:rPr>
          <w:rFonts w:hint="eastAsia" w:ascii="宋体" w:hAnsi="宋体" w:cs="宋体"/>
          <w:color w:val="auto"/>
          <w:sz w:val="24"/>
          <w:szCs w:val="24"/>
          <w:highlight w:val="none"/>
          <w:lang w:val="en-US" w:eastAsia="zh-CN"/>
        </w:rPr>
        <w:t>造价</w:t>
      </w:r>
      <w:r>
        <w:rPr>
          <w:rFonts w:hint="eastAsia" w:ascii="宋体" w:hAnsi="宋体" w:eastAsia="宋体" w:cs="宋体"/>
          <w:color w:val="auto"/>
          <w:sz w:val="24"/>
          <w:szCs w:val="24"/>
          <w:highlight w:val="none"/>
          <w:lang w:val="en-US" w:eastAsia="zh-CN"/>
        </w:rPr>
        <w:t>师执业资格且注册在本单位、从事审计工作5年以上（须提供近五年的社保缴交记录，注册</w:t>
      </w:r>
      <w:r>
        <w:rPr>
          <w:rFonts w:hint="eastAsia" w:ascii="宋体" w:hAnsi="宋体" w:cs="宋体"/>
          <w:color w:val="auto"/>
          <w:sz w:val="24"/>
          <w:szCs w:val="24"/>
          <w:highlight w:val="none"/>
          <w:lang w:val="en-US" w:eastAsia="zh-CN"/>
        </w:rPr>
        <w:t>造价</w:t>
      </w:r>
      <w:r>
        <w:rPr>
          <w:rFonts w:hint="eastAsia" w:ascii="宋体" w:hAnsi="宋体" w:eastAsia="宋体" w:cs="宋体"/>
          <w:color w:val="auto"/>
          <w:sz w:val="24"/>
          <w:szCs w:val="24"/>
          <w:highlight w:val="none"/>
          <w:lang w:val="en-US" w:eastAsia="zh-CN"/>
        </w:rPr>
        <w:t>师执业资格证书复印件）。</w:t>
      </w:r>
    </w:p>
    <w:p>
      <w:pPr>
        <w:spacing w:line="360" w:lineRule="auto"/>
        <w:ind w:firstLine="360" w:firstLineChars="15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default" w:ascii="Arial" w:hAnsi="Arial" w:eastAsia="宋体" w:cs="Arial"/>
          <w:color w:val="auto"/>
          <w:sz w:val="24"/>
          <w:szCs w:val="24"/>
          <w:highlight w:val="none"/>
        </w:rPr>
      </w:pPr>
    </w:p>
    <w:p>
      <w:pPr>
        <w:spacing w:line="360" w:lineRule="auto"/>
        <w:ind w:firstLine="360" w:firstLineChars="150"/>
        <w:rPr>
          <w:rFonts w:hint="eastAsia" w:ascii="Arial" w:hAnsi="Arial" w:eastAsia="宋体" w:cs="Arial"/>
          <w:color w:val="auto"/>
          <w:sz w:val="24"/>
          <w:szCs w:val="24"/>
          <w:highlight w:val="none"/>
        </w:rPr>
      </w:pPr>
    </w:p>
    <w:bookmarkEnd w:id="89"/>
    <w:bookmarkEnd w:id="90"/>
    <w:bookmarkEnd w:id="91"/>
    <w:bookmarkEnd w:id="92"/>
    <w:bookmarkEnd w:id="93"/>
    <w:bookmarkEnd w:id="94"/>
    <w:bookmarkEnd w:id="95"/>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6" w:name="_Toc4657"/>
      <w:bookmarkStart w:id="97" w:name="_Toc15327"/>
      <w:bookmarkStart w:id="98" w:name="_Toc13141"/>
      <w:bookmarkStart w:id="99" w:name="_Toc3060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6"/>
      <w:bookmarkEnd w:id="97"/>
      <w:bookmarkEnd w:id="98"/>
      <w:bookmarkEnd w:id="99"/>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b w:val="0"/>
          <w:bCs/>
          <w:color w:val="auto"/>
          <w:sz w:val="24"/>
          <w:szCs w:val="24"/>
          <w:highlight w:val="none"/>
          <w:u w:val="single"/>
          <w:lang w:val="en-US" w:eastAsia="zh-CN"/>
        </w:rPr>
        <w:t>QZTCSJC2024001号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采购编号）的报价代理人，以本公司名义处理一切与之有关的事宜。</w:t>
      </w:r>
    </w:p>
    <w:p>
      <w:pPr>
        <w:pStyle w:val="2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3"/>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5"/>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泉州师范学院审计处      </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pPr>
        <w:pStyle w:val="12"/>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成果质量承诺 </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泉州师范学院审计处      </w:t>
      </w: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12"/>
        <w:keepNext w:val="0"/>
        <w:keepLines w:val="0"/>
        <w:widowControl/>
        <w:suppressLineNumbers w:val="0"/>
        <w:ind w:left="0" w:firstLine="336"/>
        <w:rPr>
          <w:rFonts w:hint="default" w:asciiTheme="minorEastAsia" w:hAnsiTheme="minorEastAsia" w:eastAsiaTheme="minorEastAsia" w:cstheme="minorEastAsia"/>
          <w:color w:val="auto"/>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p>
      <w:pPr>
        <w:pStyle w:val="22"/>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8"/>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20"/>
      </w:rPr>
    </w:pPr>
    <w:r>
      <w:fldChar w:fldCharType="begin"/>
    </w:r>
    <w:r>
      <w:rPr>
        <w:rStyle w:val="20"/>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8"/>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tc>
    </w:tr>
  </w:tbl>
  <w:p>
    <w:pPr>
      <w:pStyle w:val="8"/>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MDM2OTYyMTNjNTJiMmFhOTRmN2I4YjY5NjEwMTMifQ=="/>
  </w:docVars>
  <w:rsids>
    <w:rsidRoot w:val="59835B2E"/>
    <w:rsid w:val="001550A9"/>
    <w:rsid w:val="00A77BFD"/>
    <w:rsid w:val="022E64B5"/>
    <w:rsid w:val="034E4A21"/>
    <w:rsid w:val="06530753"/>
    <w:rsid w:val="07E72C0F"/>
    <w:rsid w:val="0AE645D0"/>
    <w:rsid w:val="0C06736B"/>
    <w:rsid w:val="0DDD4CD6"/>
    <w:rsid w:val="0E8D13D6"/>
    <w:rsid w:val="0F44355D"/>
    <w:rsid w:val="102E319B"/>
    <w:rsid w:val="110648FA"/>
    <w:rsid w:val="115376E2"/>
    <w:rsid w:val="123F4B97"/>
    <w:rsid w:val="151C3B51"/>
    <w:rsid w:val="16592D25"/>
    <w:rsid w:val="16ED7F58"/>
    <w:rsid w:val="16F7028D"/>
    <w:rsid w:val="173A664E"/>
    <w:rsid w:val="174F29A7"/>
    <w:rsid w:val="19AB0402"/>
    <w:rsid w:val="1A965478"/>
    <w:rsid w:val="1AEF2407"/>
    <w:rsid w:val="1C4B3D8B"/>
    <w:rsid w:val="1D974856"/>
    <w:rsid w:val="1DD464FF"/>
    <w:rsid w:val="1E5B464E"/>
    <w:rsid w:val="1F4838B7"/>
    <w:rsid w:val="206D5569"/>
    <w:rsid w:val="207E246B"/>
    <w:rsid w:val="21240AF9"/>
    <w:rsid w:val="244F18A7"/>
    <w:rsid w:val="26224855"/>
    <w:rsid w:val="26444319"/>
    <w:rsid w:val="285627F4"/>
    <w:rsid w:val="29032C29"/>
    <w:rsid w:val="299802D6"/>
    <w:rsid w:val="29AD768A"/>
    <w:rsid w:val="2CE9143D"/>
    <w:rsid w:val="2CEB06B4"/>
    <w:rsid w:val="2DF217D7"/>
    <w:rsid w:val="2FA5263F"/>
    <w:rsid w:val="30EC4E63"/>
    <w:rsid w:val="30F31811"/>
    <w:rsid w:val="31DF15C0"/>
    <w:rsid w:val="32FB2F01"/>
    <w:rsid w:val="33C33694"/>
    <w:rsid w:val="34E0336A"/>
    <w:rsid w:val="353C6F36"/>
    <w:rsid w:val="3643461A"/>
    <w:rsid w:val="37657BB9"/>
    <w:rsid w:val="38641F41"/>
    <w:rsid w:val="3B1925BB"/>
    <w:rsid w:val="3B6C1D7D"/>
    <w:rsid w:val="3D1D1906"/>
    <w:rsid w:val="3E002010"/>
    <w:rsid w:val="3F15199C"/>
    <w:rsid w:val="3F2E1764"/>
    <w:rsid w:val="40FC3F98"/>
    <w:rsid w:val="44D71B3E"/>
    <w:rsid w:val="451F1798"/>
    <w:rsid w:val="460B582C"/>
    <w:rsid w:val="47F226A8"/>
    <w:rsid w:val="4C1307C4"/>
    <w:rsid w:val="4C65575F"/>
    <w:rsid w:val="4C9808FB"/>
    <w:rsid w:val="4E487C6D"/>
    <w:rsid w:val="4F123E7A"/>
    <w:rsid w:val="50DB448D"/>
    <w:rsid w:val="51801367"/>
    <w:rsid w:val="52612EE7"/>
    <w:rsid w:val="526B3269"/>
    <w:rsid w:val="53532908"/>
    <w:rsid w:val="53B316E5"/>
    <w:rsid w:val="55794C66"/>
    <w:rsid w:val="55CD64D1"/>
    <w:rsid w:val="55CE350E"/>
    <w:rsid w:val="55D751F9"/>
    <w:rsid w:val="568A47C2"/>
    <w:rsid w:val="59835B2E"/>
    <w:rsid w:val="5A8C30E4"/>
    <w:rsid w:val="5AE34496"/>
    <w:rsid w:val="5D654BBF"/>
    <w:rsid w:val="5F100333"/>
    <w:rsid w:val="5FB80F35"/>
    <w:rsid w:val="60745002"/>
    <w:rsid w:val="607C050A"/>
    <w:rsid w:val="612567A9"/>
    <w:rsid w:val="63BA092A"/>
    <w:rsid w:val="63E44975"/>
    <w:rsid w:val="677F3E55"/>
    <w:rsid w:val="683573A6"/>
    <w:rsid w:val="68735896"/>
    <w:rsid w:val="691C15DE"/>
    <w:rsid w:val="69690D6B"/>
    <w:rsid w:val="6A1D29A9"/>
    <w:rsid w:val="6B7D3D34"/>
    <w:rsid w:val="6D3F5C0C"/>
    <w:rsid w:val="6E0911EF"/>
    <w:rsid w:val="6E9A7D81"/>
    <w:rsid w:val="718F5027"/>
    <w:rsid w:val="726C6FA6"/>
    <w:rsid w:val="731E2BC7"/>
    <w:rsid w:val="736C78EA"/>
    <w:rsid w:val="73D2014D"/>
    <w:rsid w:val="76396820"/>
    <w:rsid w:val="76603BDA"/>
    <w:rsid w:val="780B365B"/>
    <w:rsid w:val="7A3C1755"/>
    <w:rsid w:val="7AFE4400"/>
    <w:rsid w:val="7C5E5F96"/>
    <w:rsid w:val="7CA02D78"/>
    <w:rsid w:val="7CC5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Date"/>
    <w:basedOn w:val="1"/>
    <w:next w:val="1"/>
    <w:autoRedefine/>
    <w:qFormat/>
    <w:uiPriority w:val="0"/>
    <w:rPr>
      <w:sz w:val="28"/>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autoRedefine/>
    <w:qFormat/>
    <w:uiPriority w:val="0"/>
    <w:pPr>
      <w:jc w:val="center"/>
    </w:pPr>
    <w:rPr>
      <w:rFonts w:ascii="Arial Black" w:hAnsi="Arial Black" w:cs="Arial Black"/>
      <w:i/>
      <w:iCs/>
      <w:kern w:val="2"/>
      <w:sz w:val="48"/>
      <w:szCs w:val="48"/>
    </w:rPr>
  </w:style>
  <w:style w:type="paragraph" w:styleId="14">
    <w:name w:val="annotation subject"/>
    <w:basedOn w:val="5"/>
    <w:next w:val="5"/>
    <w:autoRedefine/>
    <w:qFormat/>
    <w:uiPriority w:val="0"/>
    <w:rPr>
      <w:rFonts w:ascii="宋体" w:hAnsi="Courier New"/>
      <w:szCs w:val="20"/>
    </w:rPr>
  </w:style>
  <w:style w:type="paragraph" w:styleId="15">
    <w:name w:val="Body Text First Indent"/>
    <w:basedOn w:val="6"/>
    <w:autoRedefine/>
    <w:unhideWhenUsed/>
    <w:qFormat/>
    <w:uiPriority w:val="0"/>
    <w:pPr>
      <w:ind w:firstLine="420" w:firstLineChars="100"/>
    </w:pPr>
  </w:style>
  <w:style w:type="paragraph" w:styleId="16">
    <w:name w:val="Body Text First Indent 2"/>
    <w:basedOn w:val="6"/>
    <w:next w:val="6"/>
    <w:autoRedefine/>
    <w:qFormat/>
    <w:uiPriority w:val="0"/>
    <w:pPr>
      <w:spacing w:beforeLines="50" w:afterLines="50" w:line="360" w:lineRule="auto"/>
      <w:ind w:left="480" w:firstLine="360"/>
      <w:jc w:val="left"/>
    </w:pPr>
    <w:rPr>
      <w:rFonts w:ascii="Times New Roman" w:hAnsi="Times New Roman"/>
      <w:sz w:val="24"/>
    </w:rPr>
  </w:style>
  <w:style w:type="character" w:styleId="19">
    <w:name w:val="Strong"/>
    <w:basedOn w:val="18"/>
    <w:autoRedefine/>
    <w:qFormat/>
    <w:uiPriority w:val="0"/>
    <w:rPr>
      <w:b/>
    </w:rPr>
  </w:style>
  <w:style w:type="character" w:styleId="20">
    <w:name w:val="page number"/>
    <w:autoRedefine/>
    <w:qFormat/>
    <w:uiPriority w:val="0"/>
  </w:style>
  <w:style w:type="character" w:styleId="21">
    <w:name w:val="Hyperlink"/>
    <w:autoRedefine/>
    <w:qFormat/>
    <w:uiPriority w:val="99"/>
    <w:rPr>
      <w:color w:val="0000FF"/>
      <w:u w:val="single"/>
    </w:rPr>
  </w:style>
  <w:style w:type="paragraph" w:customStyle="1" w:styleId="22">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ptdl"/>
    <w:basedOn w:val="1"/>
    <w:autoRedefine/>
    <w:qFormat/>
    <w:uiPriority w:val="0"/>
    <w:pPr>
      <w:spacing w:after="156"/>
      <w:ind w:firstLine="480"/>
    </w:pPr>
    <w:rPr>
      <w:sz w:val="24"/>
      <w:szCs w:val="20"/>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4619</Words>
  <Characters>4683</Characters>
  <Lines>0</Lines>
  <Paragraphs>0</Paragraphs>
  <TotalTime>233</TotalTime>
  <ScaleCrop>false</ScaleCrop>
  <LinksUpToDate>false</LinksUpToDate>
  <CharactersWithSpaces>6306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Lenovo</cp:lastModifiedBy>
  <cp:lastPrinted>2024-04-28T06:37:00Z</cp:lastPrinted>
  <dcterms:modified xsi:type="dcterms:W3CDTF">2024-05-08T06:47:08Z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842C6C8D301444C2AF45AC11A024A074_13</vt:lpwstr>
  </property>
</Properties>
</file>